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 w:val="0"/>
          <w:color w:val="FF0000"/>
          <w:w w:val="80"/>
          <w:sz w:val="112"/>
          <w:szCs w:val="112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 w:val="0"/>
          <w:color w:val="FF0000"/>
          <w:spacing w:val="40"/>
          <w:w w:val="66"/>
          <w:sz w:val="112"/>
          <w:szCs w:val="112"/>
        </w:rPr>
        <w:t>南阳市卧龙区人民法院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ascii="仿宋_GB2312" w:eastAsia="仿宋_GB231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372745</wp:posOffset>
                </wp:positionV>
                <wp:extent cx="5615940" cy="0"/>
                <wp:effectExtent l="0" t="9525" r="381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9.35pt;height:0pt;width:442.2pt;mso-position-horizontal:center;mso-position-horizontal-relative:page;z-index:251659264;mso-width-relative:page;mso-height-relative:page;" filled="f" stroked="t" coordsize="21600,21600" o:gfxdata="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q0CKc1gAAAAYBAAAPAAAAAAAAAAEAIAAAACIAAABkcnMvZG93bnJldi54&#10;bWxQSwECFAAUAAAACACHTuJATXPeYsMBAABbAwAADgAAAAAAAAABACAAAAAlAQAAZHJzL2Uyb0Rv&#10;Yy54bWxQSwUGAAAAAAYABgBZAQAAW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宛龙法〔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51号                    签发人：戴瑞熠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5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  <w:lang w:eastAsia="zh-CN"/>
        </w:rPr>
        <w:t>执行指挥中心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5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  <w:lang w:eastAsia="zh-CN"/>
        </w:rPr>
        <w:t>各部门工作职责（试行）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为进一步加强执行权运行机制改革，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强化</w:t>
      </w:r>
      <w:r>
        <w:rPr>
          <w:rFonts w:hint="eastAsia" w:ascii="仿宋" w:hAnsi="仿宋" w:eastAsia="仿宋" w:cs="仿宋"/>
          <w:kern w:val="0"/>
          <w:sz w:val="32"/>
          <w:szCs w:val="32"/>
        </w:rPr>
        <w:t>“以执行指挥中心为核心，执行事务中心、卷宗管理中心为两翼”的实体化运行模式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，实现执行指挥中心集约执行、繁简分流、快慢分道、快执速执等功能，规范高效进行案件流转，现对执行指挥中心工作职责进行明确。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执行指挥中心下辖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执行事务中心、卷宗管理中心、综合事务中心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、速执团队、特执团队、财产处置专班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643" w:firstLineChars="200"/>
        <w:textAlignment w:val="auto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1、执行事务中心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（1）工作职责：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A、初次接待组（2人，AB角）：负责执行实施案件的初次接待，被执行人身份信息的核对，并按照省院“信息核对初次接待”的内容做好接待和记录，同时完成节点的录入及流转。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640" w:firstLineChars="200"/>
        <w:textAlignment w:val="auto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B、文书制作组（5人）：立案案件的文书审查；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筛查三个月内同一被执行人终本案件；</w:t>
      </w:r>
      <w:r>
        <w:rPr>
          <w:rFonts w:hint="eastAsia" w:ascii="仿宋" w:hAnsi="仿宋" w:eastAsia="仿宋" w:cs="仿宋"/>
          <w:kern w:val="0"/>
          <w:sz w:val="32"/>
          <w:szCs w:val="32"/>
        </w:rPr>
        <w:t>制作并送达实施案件的执行通知书、报告财产令、限制消费令、执行大裁定等文书；“执行通知（首执）”和“恢复告知（执恢）”节点的录入及流转；执行实施案件的网络查控；</w:t>
      </w:r>
      <w:r>
        <w:rPr>
          <w:rFonts w:hint="eastAsia" w:ascii="仿宋" w:hAnsi="仿宋" w:eastAsia="仿宋" w:cs="仿宋"/>
          <w:spacing w:val="5"/>
          <w:sz w:val="32"/>
          <w:szCs w:val="32"/>
        </w:rPr>
        <w:t>配合速执团队对前置可结案案件的报结。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660" w:firstLineChars="200"/>
        <w:textAlignment w:val="auto"/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C、执行110（5人）：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采取值班制度；</w:t>
      </w:r>
      <w:r>
        <w:rPr>
          <w:rFonts w:hint="eastAsia" w:ascii="仿宋" w:hAnsi="仿宋" w:eastAsia="仿宋" w:cs="仿宋"/>
          <w:spacing w:val="5"/>
          <w:sz w:val="32"/>
          <w:szCs w:val="32"/>
        </w:rPr>
        <w:t>线下查控被执行人的财产信息（不动产、公积金、保险等），足额案件的银行扣划；可处置财产的基础信息调取；全局送拘工作、车辆临控、人员临控工作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660" w:firstLineChars="200"/>
        <w:textAlignment w:val="auto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（2）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团队人员配置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660" w:firstLineChars="200"/>
        <w:textAlignment w:val="auto"/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1员额法官+1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主管副职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+3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在编干警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+14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书记员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执行局二楼北头两个玻璃房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时限</w:t>
      </w:r>
      <w:r>
        <w:rPr>
          <w:rFonts w:hint="eastAsia" w:ascii="仿宋" w:hAnsi="仿宋" w:eastAsia="仿宋" w:cs="仿宋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首执案件要求在立案后十日内流转；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初次接待要求立案之日完成，形成初次接待笔录；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线下调查及文书打印要求在案件流转之前完成；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实结案件、</w:t>
      </w:r>
      <w:r>
        <w:rPr>
          <w:rFonts w:hint="eastAsia" w:ascii="仿宋" w:hAnsi="仿宋" w:eastAsia="仿宋" w:cs="仿宋"/>
          <w:spacing w:val="5"/>
          <w:sz w:val="32"/>
          <w:szCs w:val="32"/>
        </w:rPr>
        <w:t>涉营商环境一方涉企买卖合同纠纷案件及信用卡类案件一定要注重“案件用时”的问题，能快则快；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43" w:firstLineChars="200"/>
        <w:textAlignment w:val="auto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2、卷宗管理中心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（1）工作职责：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A、接收事务中心流转案件的当日，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根据执行事务中心财产调查情况、案件标的情况、案件类型等繁简情况进行“繁简分流”</w:t>
      </w:r>
      <w:r>
        <w:rPr>
          <w:rFonts w:hint="eastAsia" w:ascii="仿宋" w:hAnsi="仿宋" w:eastAsia="仿宋" w:cs="仿宋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同时将分案清单</w:t>
      </w:r>
      <w:r>
        <w:rPr>
          <w:rFonts w:hint="eastAsia" w:ascii="仿宋" w:hAnsi="仿宋" w:eastAsia="仿宋" w:cs="仿宋"/>
          <w:kern w:val="0"/>
          <w:sz w:val="32"/>
          <w:szCs w:val="32"/>
        </w:rPr>
        <w:t>通过内网发给各团队内勤，便于团队登记管理；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B、执行流程节点监管、统计、周通报；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C、案款到账即日通知、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kern w:val="0"/>
          <w:sz w:val="32"/>
          <w:szCs w:val="32"/>
        </w:rPr>
        <w:t>日提醒、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kern w:val="0"/>
          <w:sz w:val="32"/>
          <w:szCs w:val="32"/>
        </w:rPr>
        <w:t>日通报；</w:t>
      </w:r>
    </w:p>
    <w:p>
      <w:pPr>
        <w:pStyle w:val="2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D、纸质卷宗实时收验、即日上传，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保障电子卷宗随案生成，</w:t>
      </w:r>
      <w:r>
        <w:rPr>
          <w:rFonts w:hint="eastAsia" w:ascii="仿宋" w:hAnsi="仿宋" w:eastAsia="仿宋" w:cs="仿宋"/>
          <w:sz w:val="32"/>
          <w:szCs w:val="32"/>
        </w:rPr>
        <w:t>实现执行全流程无纸化、移动化办案。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保障</w:t>
      </w:r>
      <w:r>
        <w:rPr>
          <w:rFonts w:hint="eastAsia" w:ascii="仿宋" w:hAnsi="仿宋" w:eastAsia="仿宋" w:cs="仿宋"/>
          <w:sz w:val="32"/>
          <w:szCs w:val="32"/>
        </w:rPr>
        <w:t>执行干警既可以在PC端随时调阅、利用电子卷宗，也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可以</w:t>
      </w:r>
      <w:r>
        <w:rPr>
          <w:rFonts w:hint="eastAsia" w:ascii="仿宋" w:hAnsi="仿宋" w:eastAsia="仿宋" w:cs="仿宋"/>
          <w:sz w:val="32"/>
          <w:szCs w:val="32"/>
        </w:rPr>
        <w:t>在执行外勤工作时，通过随身携带的执行系统PAD版终端进行现场办案，并</w:t>
      </w:r>
      <w:r>
        <w:rPr>
          <w:rFonts w:hint="eastAsia" w:ascii="仿宋" w:hAnsi="仿宋" w:eastAsia="仿宋" w:cs="FangSong_GB2312"/>
          <w:sz w:val="32"/>
          <w:szCs w:val="32"/>
        </w:rPr>
        <w:t>同步上传证据材料、同步影像化记录办案场景。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由承办人审核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上传的</w:t>
      </w:r>
      <w:r>
        <w:rPr>
          <w:rFonts w:hint="eastAsia" w:ascii="仿宋" w:hAnsi="仿宋" w:eastAsia="仿宋" w:cs="仿宋"/>
          <w:kern w:val="0"/>
          <w:sz w:val="32"/>
          <w:szCs w:val="32"/>
        </w:rPr>
        <w:t>电子卷宗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材料完整度</w:t>
      </w:r>
      <w:r>
        <w:rPr>
          <w:rFonts w:hint="eastAsia" w:ascii="仿宋" w:hAnsi="仿宋" w:eastAsia="仿宋" w:cs="仿宋"/>
          <w:kern w:val="0"/>
          <w:sz w:val="32"/>
          <w:szCs w:val="32"/>
        </w:rPr>
        <w:t>后，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由“卷宗管理中心”工作人员进行提档、归档操作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E、执行案件报结审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核，报审管办审批。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spacing w:val="5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（2）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团队人员配置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主管副职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+1在编干警+6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书记员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（3）工作地点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三楼卷宗管理中心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（4）工作时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限</w:t>
      </w:r>
      <w:r>
        <w:rPr>
          <w:rFonts w:hint="eastAsia" w:ascii="仿宋" w:hAnsi="仿宋" w:eastAsia="仿宋" w:cs="仿宋"/>
          <w:kern w:val="0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要求案件结案之日起20日内完成；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3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综合事务中心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60" w:firstLineChars="200"/>
        <w:textAlignment w:val="auto"/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（1）工作职责：冻结、划拨、限高、失信的网上审批、发布和撤销；执行局宣传及舆情监管工作；局支部党建工作；院里、局里安排的各项事务性工作；办公用品的领取及发放；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人员临控、车辆临控、律师调查令、强制措施统计、拘传、拘留、拒执等相关台账建立；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1在编干警+2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书记员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208及现有的工作场地不变。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pacing w:val="5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工作时限要求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60" w:firstLineChars="200"/>
        <w:textAlignment w:val="auto"/>
        <w:rPr>
          <w:rFonts w:hint="eastAsia" w:ascii="仿宋" w:hAnsi="仿宋" w:eastAsia="仿宋" w:cs="仿宋"/>
          <w:spacing w:val="5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上述工作均在法定期限内或按照要求及时完成。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速执团队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）工作职责：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办理足额扣划、可以直接实结等案件；办理涉营商环境一方涉企买卖合同纠纷案件及信用卡类案件；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单纯办理过户等简单行为案件；</w:t>
      </w:r>
      <w:r>
        <w:rPr>
          <w:rFonts w:hint="eastAsia" w:ascii="仿宋" w:hAnsi="仿宋" w:eastAsia="仿宋" w:cs="仿宋"/>
          <w:spacing w:val="5"/>
          <w:sz w:val="32"/>
          <w:szCs w:val="32"/>
        </w:rPr>
        <w:t>五万元及以下标的额实施案件；过户登记等行为案件；一次性有效执行案件及前置可结案案件的办理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执行内容仅为罚金的首次执行案件（不含涉黑恶、非吸）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；其他简易执行案件；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团队人员配置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60" w:firstLineChars="200"/>
        <w:textAlignment w:val="auto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1员额法官+3在编干警+3书记员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6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sz w:val="32"/>
          <w:szCs w:val="32"/>
        </w:rPr>
        <w:t>工作地点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二楼北头西侧玻璃房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工作时限要求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60" w:firstLineChars="200"/>
        <w:textAlignment w:val="auto"/>
        <w:rPr>
          <w:rFonts w:hint="default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足额扣划或自动履行案件要求7日内结案并完善卷宗手续；涉营商环境案件要求45天内结案；过户登记、五万元以下实施案件等简易案件要求执行期限不得超过60天；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特执团队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工作职责：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涉党政机关执行案件；</w:t>
      </w:r>
      <w:r>
        <w:rPr>
          <w:rFonts w:hint="eastAsia" w:ascii="仿宋" w:hAnsi="仿宋" w:eastAsia="仿宋" w:cs="仿宋"/>
          <w:kern w:val="0"/>
          <w:sz w:val="32"/>
          <w:szCs w:val="32"/>
        </w:rPr>
        <w:t>涉</w:t>
      </w:r>
      <w:r>
        <w:rPr>
          <w:rFonts w:hint="eastAsia" w:ascii="仿宋" w:hAnsi="仿宋" w:eastAsia="仿宋" w:cs="仿宋"/>
          <w:sz w:val="32"/>
          <w:szCs w:val="32"/>
        </w:rPr>
        <w:t>金融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执行</w:t>
      </w:r>
      <w:r>
        <w:rPr>
          <w:rFonts w:hint="eastAsia" w:ascii="仿宋" w:hAnsi="仿宋" w:eastAsia="仿宋" w:cs="仿宋"/>
          <w:sz w:val="32"/>
          <w:szCs w:val="32"/>
        </w:rPr>
        <w:t>案件；重大疑难案件和其他交办案件。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）团队人员配置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1员额法官+1主管副职+2在编干警+2书记员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212、214办公室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（4）工作时限要求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涉党政机关案件要求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90日内执行完毕或者达成和解协议；涉金融执行案件时限不得超过75天；其他重大疑难复杂案件时限不得超过法定执行期限。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财产处置专班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1、负责各执行实施团队自发现可供执行财产之日起30天内已</w:t>
      </w:r>
      <w:r>
        <w:rPr>
          <w:rFonts w:hint="eastAsia" w:ascii="仿宋" w:hAnsi="仿宋" w:eastAsia="仿宋" w:cs="仿宋"/>
          <w:sz w:val="32"/>
          <w:szCs w:val="32"/>
        </w:rPr>
        <w:t>作出拍卖裁定、财产基础信息调查、土地性质问询函、腾房公告张贴等财产变价工作；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2、负责完成定价的标的物挂网拍卖工作；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3、负责财产处置变价过程中如引领看样、咨询回复等财产处置事务性工作；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负责财产处置变价过程中的网络询价报告、定向询价报告、评估报告的制作与送达。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执行流程中的评估、拍卖节点内工作由财产处置专班负责。处置过程中如出现异议、和解等情形均由实施团队负责。处置专班不负责任何案件文书制作。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）团队人员配置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1员额法官+1在编干警+1书记员+司法拍卖辅助人员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）工作地点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执行指挥中心、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215办公室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kern w:val="0"/>
          <w:sz w:val="32"/>
          <w:szCs w:val="32"/>
        </w:rPr>
        <w:t>时限要求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要求财产处置程序</w:t>
      </w:r>
      <w:r>
        <w:rPr>
          <w:rFonts w:hint="eastAsia" w:ascii="仿宋" w:hAnsi="仿宋" w:eastAsia="仿宋" w:cs="仿宋"/>
          <w:kern w:val="0"/>
          <w:sz w:val="32"/>
          <w:szCs w:val="32"/>
        </w:rPr>
        <w:t>在相关法律规定的期限内完成财产处置变价工作。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7、其他团队工作职责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经执行指挥中心甄别、核查后进行繁简分流的执行案件，除由执行指挥中心速执团队、特执团队办理的案件外，其他“繁案”由执行局首执团队、执恢团队办理。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南阳市卧龙区人民法院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二〇二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月十五日</w:t>
      </w:r>
    </w:p>
    <w:p/>
    <w:sectPr>
      <w:pgSz w:w="11906" w:h="16838"/>
      <w:pgMar w:top="1723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99C293"/>
    <w:multiLevelType w:val="singleLevel"/>
    <w:tmpl w:val="9A99C29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3E65F89F"/>
    <w:multiLevelType w:val="singleLevel"/>
    <w:tmpl w:val="3E65F89F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43B98111"/>
    <w:multiLevelType w:val="singleLevel"/>
    <w:tmpl w:val="43B98111"/>
    <w:lvl w:ilvl="0" w:tentative="0">
      <w:start w:val="3"/>
      <w:numFmt w:val="decimal"/>
      <w:suff w:val="nothing"/>
      <w:lvlText w:val="（%1）"/>
      <w:lvlJc w:val="left"/>
    </w:lvl>
  </w:abstractNum>
  <w:abstractNum w:abstractNumId="3">
    <w:nsid w:val="6BA9D9C7"/>
    <w:multiLevelType w:val="singleLevel"/>
    <w:tmpl w:val="6BA9D9C7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9417A"/>
    <w:rsid w:val="247C3F87"/>
    <w:rsid w:val="29E468B9"/>
    <w:rsid w:val="2EB56012"/>
    <w:rsid w:val="3E4E1365"/>
    <w:rsid w:val="6F29417A"/>
    <w:rsid w:val="7517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2023-07-19T08:16:00Z</dcterms:created>
  <dc:creator>刘晓</dc:creator>
  <cp:lastModifiedBy>刘晓</cp:lastModifiedBy>
  <cp:lastPrinted>2023-07-22T01:29:14Z</cp:lastPrinted>
  <dcterms:modified xsi:type="dcterms:W3CDTF">2023-07-23T05:21:10Z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