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Cs/>
          <w:color w:val="FF0000"/>
          <w:spacing w:val="-56"/>
          <w:w w:val="66"/>
          <w:sz w:val="142"/>
          <w:szCs w:val="142"/>
        </w:rPr>
      </w:pPr>
      <w:r>
        <w:rPr>
          <w:rFonts w:hint="eastAsia" w:ascii="华文中宋" w:hAnsi="华文中宋" w:eastAsia="华文中宋"/>
          <w:bCs/>
          <w:color w:val="FF0000"/>
          <w:spacing w:val="-56"/>
          <w:w w:val="66"/>
          <w:sz w:val="142"/>
          <w:szCs w:val="142"/>
        </w:rPr>
        <w:t>南阳市卧龙区人民法院</w:t>
      </w:r>
    </w:p>
    <w:p>
      <w:pPr>
        <w:jc w:val="center"/>
        <w:rPr>
          <w:rFonts w:ascii="仿宋" w:hAnsi="仿宋" w:eastAsia="仿宋"/>
          <w:color w:val="FF0000"/>
          <w:w w:val="80"/>
          <w:sz w:val="32"/>
          <w:szCs w:val="32"/>
        </w:rPr>
      </w:pPr>
    </w:p>
    <w:p>
      <w:pPr>
        <w:jc w:val="right"/>
        <w:rPr>
          <w:rFonts w:ascii="FangSong_GB2312" w:hAnsi="仿宋" w:eastAsia="FangSong_GB2312"/>
          <w:sz w:val="32"/>
          <w:szCs w:val="32"/>
        </w:rPr>
      </w:pPr>
      <w:r>
        <w:rPr>
          <w:rFonts w:ascii="FangSong_GB2312" w:eastAsia="FangSong_GB231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372745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35pt;height:0pt;width:442.2pt;mso-position-horizontal:center;mso-position-horizontal-relative:page;z-index:251659264;mso-width-relative:page;mso-height-relative:page;" filled="f" stroked="t" coordsize="21600,21600" o:gfxdata="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0CKc1gAAAAYBAAAPAAAAAAAAAAEAIAAAACIAAABkcnMvZG93bnJldi54&#10;bWxQSwECFAAUAAAACACHTuJATXPeYsMBAABbAwAADgAAAAAAAAABACAAAAAlAQAAZHJzL2Uyb0Rv&#10;Yy54bWxQSwUGAAAAAAYABgBZAQAAW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仿宋" w:eastAsia="FangSong_GB2312"/>
          <w:sz w:val="32"/>
          <w:szCs w:val="32"/>
        </w:rPr>
        <w:t xml:space="preserve">                  签发人：戴瑞熠</w:t>
      </w:r>
    </w:p>
    <w:p>
      <w:pPr>
        <w:spacing w:line="640" w:lineRule="exact"/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执行权运行机制改革方案（试行）</w:t>
      </w:r>
    </w:p>
    <w:p>
      <w:pPr>
        <w:spacing w:line="640" w:lineRule="exact"/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为进一步加强执行权运行机制改革，在总结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2022年执行权运行机制运行经验的基础上，强化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“以执行指挥中心为核心，执行事务中心、卷宗管理中心为两翼”的实体化运行模式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，对我院执行局的执行权运行机制进一步优化。具体方案如下：</w:t>
      </w:r>
    </w:p>
    <w:p>
      <w:pPr>
        <w:adjustRightInd w:val="0"/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一、框架</w:t>
      </w:r>
    </w:p>
    <w:p>
      <w:pPr>
        <w:adjustRightInd w:val="0"/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（一）执行指挥中心的实体化运行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执行指挥中心下辖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执行事务中心、卷宗管理中心、综合事务中心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加强执行指挥中心的统一管理、统一指挥、统一协调，要做到电话有人接、线索能交办、来访有接待、节点能监控、案件能管理、部门能联动、远程能指挥、要情能上报；全面剥离执行事务性工作，集约处理，减轻实施团队工作负担，提速增效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执行指挥中心日常工作由张平负责，张欣辅助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张平负责卷宗管理中心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，彭帅辅助负责执行事务中心。</w:t>
      </w:r>
    </w:p>
    <w:p>
      <w:pPr>
        <w:pStyle w:val="10"/>
        <w:adjustRightInd w:val="0"/>
        <w:spacing w:line="520" w:lineRule="exact"/>
        <w:ind w:left="690"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1、执行事务中心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A、初次接待组（2人，AB角）：负责执行实施案件的初次接待，被执行人身份信息的核对，并按照省院“信息核对初次接待”的内容做好接待和记录，同时完成节点的录入及流转。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B、文书制作组（5人）：立案案件的文书审查；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筛查三个月内同一被执行人终本案件；</w:t>
      </w:r>
      <w:r>
        <w:rPr>
          <w:rFonts w:hint="eastAsia" w:ascii="仿宋" w:hAnsi="仿宋" w:eastAsia="仿宋" w:cs="仿宋"/>
          <w:kern w:val="0"/>
          <w:sz w:val="32"/>
          <w:szCs w:val="32"/>
        </w:rPr>
        <w:t>制作并送达实施案件的执行通知书、报告财产令、限制消费令、执行大裁定等文书；“执行通知（首执）”和“恢复告知（执恢）”节点的录入及流转；执行实施案件的网络查控；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配合速执团队对前置可结案案件的报结。</w:t>
      </w:r>
    </w:p>
    <w:p>
      <w:pPr>
        <w:adjustRightInd w:val="0"/>
        <w:spacing w:line="520" w:lineRule="exact"/>
        <w:ind w:firstLine="660" w:firstLineChars="200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C、执行110（5人）：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采取值班制度；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线下查控被执行人的财产信息（不动产、公积金、保险等），足额案件的银行扣划；可处置财产的基础信息调取；全局送拘工作、车辆临控、人员临控工作；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（具体操作规则另定）</w:t>
      </w:r>
    </w:p>
    <w:p>
      <w:pPr>
        <w:adjustRightInd w:val="0"/>
        <w:spacing w:line="520" w:lineRule="exact"/>
        <w:ind w:firstLine="660" w:firstLineChars="200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D、案件组（5人）：办理足额扣划、可以直接实结等案件；办理涉营商环境一方涉企买卖合同纠纷案件及信用卡类案件；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单纯办理过户等简单行为案件；</w:t>
      </w:r>
    </w:p>
    <w:p>
      <w:pPr>
        <w:adjustRightInd w:val="0"/>
        <w:spacing w:line="520" w:lineRule="exact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（2）人员名单：</w:t>
      </w:r>
    </w:p>
    <w:p>
      <w:pPr>
        <w:adjustRightInd w:val="0"/>
        <w:spacing w:line="520" w:lineRule="exact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主管副职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：彭帅</w:t>
      </w:r>
    </w:p>
    <w:p>
      <w:pPr>
        <w:adjustRightInd w:val="0"/>
        <w:spacing w:line="520" w:lineRule="exact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在编干警：宋治国、张婷婷、孟令源</w:t>
      </w:r>
    </w:p>
    <w:p>
      <w:pPr>
        <w:adjustRightInd w:val="0"/>
        <w:spacing w:line="520" w:lineRule="exact"/>
        <w:ind w:firstLine="660" w:firstLineChars="200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辅助人员：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常照军（兼顾宣传工作）、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张圣坤、史宛龙、李羚、李彦、张楚、吕麒、周洋、田金苗、徐梦真、徐峥、林中权、刘勇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、马光铮（主要辅助张欣）</w:t>
      </w:r>
    </w:p>
    <w:p>
      <w:pPr>
        <w:numPr>
          <w:ilvl w:val="0"/>
          <w:numId w:val="1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工作地点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执行局二楼北头两个玻璃房</w:t>
      </w:r>
    </w:p>
    <w:p>
      <w:pPr>
        <w:numPr>
          <w:ilvl w:val="0"/>
          <w:numId w:val="1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工作时效要求</w:t>
      </w:r>
    </w:p>
    <w:p>
      <w:pPr>
        <w:numPr>
          <w:ilvl w:val="0"/>
          <w:numId w:val="0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首执案件要求在立案后十日内流转；</w:t>
      </w:r>
    </w:p>
    <w:p>
      <w:pPr>
        <w:numPr>
          <w:ilvl w:val="0"/>
          <w:numId w:val="0"/>
        </w:num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初次接待要求立案之日完成，形成初次接待笔录；</w:t>
      </w:r>
    </w:p>
    <w:p>
      <w:pPr>
        <w:numPr>
          <w:ilvl w:val="0"/>
          <w:numId w:val="0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线下调查及文书打印要求在案件流转之前完成；</w:t>
      </w:r>
    </w:p>
    <w:p>
      <w:pPr>
        <w:numPr>
          <w:ilvl w:val="0"/>
          <w:numId w:val="0"/>
        </w:num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实结案件、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涉营商环境一方涉企买卖合同纠纷案件及信用卡类案件一定要注重“案件用时”的问题，能快则快；</w:t>
      </w:r>
    </w:p>
    <w:p>
      <w:pPr>
        <w:numPr>
          <w:ilvl w:val="0"/>
          <w:numId w:val="0"/>
        </w:numPr>
        <w:adjustRightInd w:val="0"/>
        <w:spacing w:line="520" w:lineRule="exact"/>
        <w:ind w:firstLine="660" w:firstLineChars="200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5、文书制作组负责网络查控的干警，要及时完成网络查控及相关节点，保证网络查控发起率保持在100%。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2、卷宗管理中心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A、接收事务中心流转案件的当日，线上分至实施团队团队长名下，线下通过内网发给各团队内勤，便于团队登记管理；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B、执行流程节点监管、统计、周通报；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C、案款到账即日通知、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</w:rPr>
        <w:t>日提醒、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</w:rPr>
        <w:t>日通报；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D、纸质卷宗实时收验、即日上传，由承办人审核电子卷宗后，提交结案审批表的当日报结、结案卷宗七日归档及其他未尽事宜。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电子卷宗不齐，综合不予审批结案。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E、执行案件报结审批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（2）人员名单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主管副职：张欣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团队长：刘晓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辅助人员：景阳、秦广华（兼顾案款）、刘静、贾帅、吴威、李长华、李建方、吕天霞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、郭幽泉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（3）工作地点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综合室、三楼卷宗管理中心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（4）工作时效要求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要求案件结案之日起20日内完成；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综合事务中心</w:t>
      </w:r>
    </w:p>
    <w:p>
      <w:pPr>
        <w:spacing w:line="520" w:lineRule="exact"/>
        <w:ind w:firstLine="660" w:firstLineChars="200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（1）工作职责：冻结、划拨、限高、失信的网上审批、发布和撤销；执行局宣传及舆情监管工作；局支部党建工作；院里、局里安排的各项事务性工作；办公用品的领取及发放；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人员临控、车辆临控、律师调查令、强制措施统计、拘传、拘留、拒执等相关台账建立；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（2）人员名单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团队长：王晓璐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辅助人员：胡沛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秦广华（兼顾办公用品发放）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工作地点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208及现有的工作场地不变。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（4）工作时限要求：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上述工作均在法定期限内或按照要求及时完成。</w:t>
      </w:r>
    </w:p>
    <w:p>
      <w:pPr>
        <w:spacing w:line="52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（二）首执团队</w:t>
      </w:r>
    </w:p>
    <w:p>
      <w:pPr>
        <w:spacing w:line="520" w:lineRule="exact"/>
        <w:ind w:firstLine="627" w:firstLineChars="19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主管副局长</w:t>
      </w:r>
      <w:r>
        <w:rPr>
          <w:rFonts w:hint="eastAsia" w:ascii="仿宋" w:hAnsi="仿宋" w:eastAsia="仿宋" w:cs="仿宋"/>
          <w:kern w:val="0"/>
          <w:sz w:val="32"/>
          <w:szCs w:val="32"/>
        </w:rPr>
        <w:t>刘旭负责首执团队日常工作的具体开展。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首执团队工作职责：负责首次执行案件实施；本团队原终本及部分终结执行案件的恢复执行实施；承担执行质效中首执案件的考核指标；</w:t>
      </w:r>
    </w:p>
    <w:p>
      <w:pPr>
        <w:numPr>
          <w:ilvl w:val="0"/>
          <w:numId w:val="3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首执第一团队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（1）人员名单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团队长：谭猛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在编干警：范鑫、李涛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辅助人员：李勇、王菲、朱家鑫、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张子麟、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燕子洋（辅助刘旭）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（2）工作地点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216、206</w:t>
      </w:r>
    </w:p>
    <w:p>
      <w:pPr>
        <w:numPr>
          <w:ilvl w:val="0"/>
          <w:numId w:val="3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首执第二团队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（1）人员名单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团队长：吴志勇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在编干警：徐启明、宋晓凌、王骞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辅助人员：王玉博、李国盛、王聪、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张益铭、王鑫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（2）工作地点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202、205</w:t>
      </w:r>
    </w:p>
    <w:p>
      <w:pPr>
        <w:numPr>
          <w:ilvl w:val="0"/>
          <w:numId w:val="3"/>
        </w:num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首执第三团队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（1）人员名单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团队长：靳志刚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在编干警：魏拥军、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王满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辅助人员：徐敬琳、赵琪、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王雷宇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、王梦博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（2）工作地点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201、203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工作时限要求：首执案件在60天内执结，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其中有财产的案件计算好时间，能够在首执案件法定审限180天内执结的，可以不受60天时限的要求。</w:t>
      </w:r>
    </w:p>
    <w:p>
      <w:pPr>
        <w:numPr>
          <w:ilvl w:val="0"/>
          <w:numId w:val="4"/>
        </w:numPr>
        <w:adjustRightInd w:val="0"/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执恢团队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主管副局长</w:t>
      </w:r>
      <w:r>
        <w:rPr>
          <w:rFonts w:hint="eastAsia" w:ascii="仿宋" w:hAnsi="仿宋" w:eastAsia="仿宋" w:cs="仿宋"/>
          <w:kern w:val="0"/>
          <w:sz w:val="32"/>
          <w:szCs w:val="32"/>
        </w:rPr>
        <w:t>姚远负责执恢团队日常工作的具体开展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1、执恢第一团队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（1）工作职责：已调出人员或不宜由原承办人继续办理的终本案件、终结案件的恢复执行；涉黑恶、涉非吸、涉及责令退赔的刑事涉财执行案件；其他交办的恢复案件。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（2）人员名单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团队长：姜南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在编干警：徐亚东、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刘露莲</w:t>
      </w:r>
    </w:p>
    <w:p>
      <w:pPr>
        <w:adjustRightInd w:val="0"/>
        <w:spacing w:line="520" w:lineRule="exact"/>
        <w:ind w:left="638" w:leftChars="3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辅助人员：郭伟、宋兆波、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刘晨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、杨超然（辅助姚远）（3）工作地点</w:t>
      </w:r>
    </w:p>
    <w:p>
      <w:pPr>
        <w:adjustRightInd w:val="0"/>
        <w:spacing w:line="520" w:lineRule="exact"/>
        <w:ind w:left="638" w:leftChars="3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209、211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2、执恢第二团队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（1）工作职责：涉财产处置的执恢案件；其他交办的恢复案件。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（2）人员名单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团队长：史东峰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在编干警：高豫飞、陈旭</w:t>
      </w:r>
    </w:p>
    <w:p>
      <w:pPr>
        <w:adjustRightInd w:val="0"/>
        <w:spacing w:line="520" w:lineRule="exact"/>
        <w:ind w:left="638" w:leftChars="3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辅助人员：孙宁、冯超、王娟</w:t>
      </w:r>
    </w:p>
    <w:p>
      <w:pPr>
        <w:adjustRightInd w:val="0"/>
        <w:spacing w:line="520" w:lineRule="exact"/>
        <w:ind w:left="638" w:leftChars="3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（3）工作地点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210、219（共用）</w:t>
      </w:r>
    </w:p>
    <w:p>
      <w:pPr>
        <w:adjustRightInd w:val="0"/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（四）保全团队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工作职责：1、负责执保字案件的办理；2、负责执行指挥平台委托案件办理。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时限要求：简单执保案件，5日内结案；复杂执保案件最长用时不得超过15日；外地委托案件5个工作日内完成并回复。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人员名单：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团队长：周澎涛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在编干警：鲁萌、勇跃会、陶成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辅助人员：张一木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工作地点：三楼</w:t>
      </w:r>
    </w:p>
    <w:p>
      <w:pPr>
        <w:adjustRightInd w:val="0"/>
        <w:spacing w:line="52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（五）财产处置专班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工作职责：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1、负责各执行实施团队自发现可供执行财产之日起30天内已</w:t>
      </w:r>
      <w:r>
        <w:rPr>
          <w:rFonts w:hint="eastAsia" w:ascii="仿宋" w:hAnsi="仿宋" w:eastAsia="仿宋" w:cs="仿宋"/>
          <w:sz w:val="32"/>
          <w:szCs w:val="32"/>
        </w:rPr>
        <w:t>作出拍卖裁定、财产基础信息调查、土地性质问询函、腾房公告张贴等财产变价工作；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2、负责完成定价的标的物挂网拍卖工作；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3、负责财产处置变价过程中如引领看样、咨询回复等财产处置事务性工作；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负责财产处置变价过程中的网络询价报告、定向询价报告、评估报告的制作与送达。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5、局里安排的其他工作；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执行流程中的评估、拍卖节点内工作由财产处置专班负责。处置过程中如出现异议、和解等情形均由实施团队负责。处置专班不负责任何案件文书制作。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人员名单：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财产处置专员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：徐阁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辅助人员：陈冠宇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时限要求：在相关法律规定的期限内完成财产处置变价工作。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保全团队和财产处置专班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由董奇负责上述工作的具体实施。</w:t>
      </w:r>
    </w:p>
    <w:p>
      <w:pPr>
        <w:pStyle w:val="10"/>
        <w:adjustRightInd w:val="0"/>
        <w:spacing w:line="520" w:lineRule="exact"/>
        <w:ind w:firstLine="643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（六）执行裁决团队</w:t>
      </w:r>
    </w:p>
    <w:p>
      <w:pPr>
        <w:pStyle w:val="10"/>
        <w:adjustRightInd w:val="0"/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工作职责：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信访、舆情督查或转办；</w:t>
      </w:r>
      <w:r>
        <w:rPr>
          <w:rFonts w:hint="eastAsia" w:ascii="仿宋" w:hAnsi="仿宋" w:eastAsia="仿宋" w:cs="仿宋"/>
          <w:kern w:val="0"/>
          <w:sz w:val="32"/>
          <w:szCs w:val="32"/>
        </w:rPr>
        <w:t>接收、审查、审理执行异议及执行监督案件</w:t>
      </w:r>
    </w:p>
    <w:p>
      <w:pPr>
        <w:pStyle w:val="10"/>
        <w:adjustRightInd w:val="0"/>
        <w:spacing w:line="520" w:lineRule="exact"/>
        <w:ind w:left="420" w:leftChars="200"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人员名单：</w:t>
      </w:r>
    </w:p>
    <w:p>
      <w:pPr>
        <w:pStyle w:val="10"/>
        <w:adjustRightInd w:val="0"/>
        <w:spacing w:line="520" w:lineRule="exact"/>
        <w:ind w:left="420" w:leftChars="200"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负责人：李廷峰</w:t>
      </w:r>
    </w:p>
    <w:p>
      <w:pPr>
        <w:pStyle w:val="10"/>
        <w:adjustRightInd w:val="0"/>
        <w:spacing w:line="520" w:lineRule="exact"/>
        <w:ind w:left="420" w:leftChars="200"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在编干警：张欣、王园</w:t>
      </w:r>
    </w:p>
    <w:p>
      <w:pPr>
        <w:pStyle w:val="10"/>
        <w:adjustRightInd w:val="0"/>
        <w:spacing w:line="520" w:lineRule="exact"/>
        <w:ind w:left="420" w:leftChars="200"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辅助人员：靳亚楠、张亚岚</w:t>
      </w:r>
    </w:p>
    <w:p>
      <w:pPr>
        <w:pStyle w:val="10"/>
        <w:adjustRightInd w:val="0"/>
        <w:spacing w:line="520" w:lineRule="exact"/>
        <w:ind w:firstLine="0" w:firstLineChars="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执行案件分案规则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（一）分案说明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以执行标的、执行行为、案件性质等分案；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由执行局执行指挥中心统一进行分案到承办人，按案号排序分案；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首执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案件原则上作平均分配，根据执行局工作需要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调整；</w:t>
      </w:r>
    </w:p>
    <w:p>
      <w:pPr>
        <w:numPr>
          <w:ilvl w:val="0"/>
          <w:numId w:val="5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执恢案件分配依据《恢复执行审批表》分配为准；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分案规则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1、首执案件分案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执行事务中心在案件前置阶段对案件进行梳理，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做好案件繁简标注工作，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对于可以实结的案件在执行事务中心完成；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三个首执团队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的承办人按均分配，按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负责办理首执案件；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原则上自首执一团队至首执三团队按案号依次分案。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刘旭负责涉党政机关案件及涉信用社清收案件；张欣负责办理其他银行申请执行的案件；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营商环境五类合同纠纷案件（即：</w:t>
      </w:r>
      <w:r>
        <w:rPr>
          <w:rFonts w:hint="eastAsia" w:ascii="仿宋_GB2312" w:hAnsi="微软雅黑" w:eastAsia="仿宋_GB2312"/>
          <w:color w:val="23272B"/>
          <w:sz w:val="32"/>
          <w:szCs w:val="32"/>
          <w:lang w:val="en-US" w:eastAsia="zh-CN"/>
        </w:rPr>
        <w:t>买卖合同纠纷、金融借款合同纠纷、承揽合同纠纷、委托合同纠纷、融资合同纠纷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集中由彭帅、孟令源、张婷婷办理；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涉黑恶、涉职务犯罪刑事涉财产移送执行案件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执恢第一团队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2、执恢案件办理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）“已调出或退休离职人员”恢复执行的执行案件，由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执恢第一团队和执恢第二团队负责办理（具体办理情况根据《恢复执行审批表》载明为准）；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原则上，无财产的案件由执恢一办理、有财产的案件由执恢二办理；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）“在局人员的终本案件”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2022年1月1日（以结案时间为准）以后执结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的终本案件由现团队内换人办理；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2022年1月1日之前的终本案件，若原终本结案的案件涉及“财产符合处置条件”的案件恢复后由原承办人办理，其他的恢复执行后经《恢复执行审批表》审批后交执恢团队办理；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三个首执团队的各承办人原以“终结执行”结案的的执行案件，实行“推磨式”方式，首执一推磨至首执二，首执二推磨至首执三，首执三推磨至首执一；例外情形：首执案件“有财产可供处置”因时效问题以“终结执行”，恢复执行后，原则上由原承办人办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（4）彭帅、张欣、孟令源、张婷婷四人恢复执行的案件原则上由执恢团队办理；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执行裁决团队负责办理执行异议、执行监督案件；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保全团队负责办理执行保全案件及执行委托案件；</w:t>
      </w:r>
    </w:p>
    <w:p>
      <w:pPr>
        <w:pStyle w:val="10"/>
        <w:adjustRightInd w:val="0"/>
        <w:spacing w:line="520" w:lineRule="exact"/>
        <w:ind w:firstLine="0" w:firstLineChars="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三、执行权运行机制改革的职责明确</w:t>
      </w:r>
    </w:p>
    <w:p>
      <w:pPr>
        <w:pStyle w:val="10"/>
        <w:adjustRightInd w:val="0"/>
        <w:spacing w:line="52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压实各团队长的团队管理职责：在案件办理中可以适当性作微调处理；但对于本团队的疑难复杂案件，原则上应由团队长办理，或者由团队长牵头负责；实施案件或信访案件汇报、讨论，由合议庭形成书面初步意见后，提前登记备案，向局执委会上报相关情况，案件承办人及团队长均应参与案件讨论；</w:t>
      </w:r>
    </w:p>
    <w:p>
      <w:pPr>
        <w:pStyle w:val="10"/>
        <w:adjustRightInd w:val="0"/>
        <w:spacing w:line="52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2、根据上级法院执行的质效考核标准，对各团队、各承办人质效进行月考核、季度考核、年考核，向院里上报办案能手等优秀人员以质效考核情况为主要参考依据。</w:t>
      </w:r>
    </w:p>
    <w:p>
      <w:pPr>
        <w:pStyle w:val="10"/>
        <w:adjustRightInd w:val="0"/>
        <w:spacing w:line="52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adjustRightInd w:val="0"/>
        <w:spacing w:line="52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adjustRightInd w:val="0"/>
        <w:spacing w:line="52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beforeLines="50" w:line="520" w:lineRule="exact"/>
        <w:ind w:firstLine="640" w:firstLineChars="200"/>
        <w:jc w:val="right"/>
        <w:rPr>
          <w:rFonts w:ascii="仿宋" w:hAnsi="仿宋" w:eastAsia="仿宋" w:cs="FangSong_GB2312"/>
          <w:kern w:val="0"/>
          <w:sz w:val="32"/>
          <w:szCs w:val="32"/>
        </w:rPr>
      </w:pPr>
      <w:r>
        <w:rPr>
          <w:rFonts w:hint="eastAsia" w:ascii="仿宋" w:hAnsi="仿宋" w:eastAsia="仿宋" w:cs="FangSong_GB2312"/>
          <w:kern w:val="0"/>
          <w:sz w:val="32"/>
          <w:szCs w:val="32"/>
        </w:rPr>
        <w:t xml:space="preserve">南阳市卧龙区人民法院 </w:t>
      </w:r>
    </w:p>
    <w:p>
      <w:pPr>
        <w:spacing w:beforeLines="50" w:line="520" w:lineRule="exact"/>
        <w:ind w:firstLine="640" w:firstLineChars="200"/>
        <w:jc w:val="right"/>
        <w:rPr>
          <w:rFonts w:ascii="仿宋" w:hAnsi="仿宋" w:eastAsia="仿宋" w:cs="FangSong_GB2312"/>
          <w:kern w:val="0"/>
          <w:sz w:val="32"/>
          <w:szCs w:val="32"/>
        </w:rPr>
      </w:pPr>
    </w:p>
    <w:p>
      <w:pPr>
        <w:wordWrap w:val="0"/>
        <w:spacing w:line="520" w:lineRule="exact"/>
        <w:jc w:val="right"/>
        <w:rPr>
          <w:rFonts w:hint="eastAsia" w:ascii="仿宋" w:hAnsi="仿宋" w:eastAsia="仿宋" w:cs="FangSong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FangSong_GB2312"/>
          <w:kern w:val="0"/>
          <w:sz w:val="32"/>
          <w:szCs w:val="32"/>
        </w:rPr>
        <w:t>二〇二</w:t>
      </w:r>
      <w:r>
        <w:rPr>
          <w:rFonts w:hint="eastAsia" w:ascii="仿宋" w:hAnsi="仿宋" w:eastAsia="仿宋" w:cs="FangSong_GB2312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FangSong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FangSong_GB2312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FangSong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FangSong_GB2312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FangSong_GB2312"/>
          <w:kern w:val="0"/>
          <w:sz w:val="32"/>
          <w:szCs w:val="32"/>
        </w:rPr>
        <w:t xml:space="preserve">日 </w:t>
      </w:r>
      <w:bookmarkStart w:id="0" w:name="_GoBack"/>
      <w:bookmarkEnd w:id="0"/>
    </w:p>
    <w:p>
      <w:pPr>
        <w:pStyle w:val="10"/>
        <w:spacing w:line="520" w:lineRule="exact"/>
        <w:ind w:left="0" w:leftChars="0" w:right="315" w:firstLine="0" w:firstLineChars="0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63720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5B0B0"/>
    <w:multiLevelType w:val="singleLevel"/>
    <w:tmpl w:val="8D35B0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8EA4A3"/>
    <w:multiLevelType w:val="singleLevel"/>
    <w:tmpl w:val="2B8EA4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AC6BC1"/>
    <w:multiLevelType w:val="singleLevel"/>
    <w:tmpl w:val="3DAC6B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E65F89F"/>
    <w:multiLevelType w:val="singleLevel"/>
    <w:tmpl w:val="3E65F89F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6BA9D9C7"/>
    <w:multiLevelType w:val="singleLevel"/>
    <w:tmpl w:val="6BA9D9C7"/>
    <w:lvl w:ilvl="0" w:tentative="0">
      <w:start w:val="3"/>
      <w:numFmt w:val="decimal"/>
      <w:suff w:val="nothing"/>
      <w:lvlText w:val="（%1）"/>
      <w:lvlJc w:val="left"/>
    </w:lvl>
  </w:abstractNum>
  <w:abstractNum w:abstractNumId="5">
    <w:nsid w:val="7549AC8E"/>
    <w:multiLevelType w:val="singleLevel"/>
    <w:tmpl w:val="7549AC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12C4"/>
    <w:rsid w:val="00002CCA"/>
    <w:rsid w:val="000426B1"/>
    <w:rsid w:val="00050730"/>
    <w:rsid w:val="000746B2"/>
    <w:rsid w:val="00082837"/>
    <w:rsid w:val="00125189"/>
    <w:rsid w:val="00150F90"/>
    <w:rsid w:val="001D159D"/>
    <w:rsid w:val="00231B44"/>
    <w:rsid w:val="00270D9A"/>
    <w:rsid w:val="002734D2"/>
    <w:rsid w:val="002740C6"/>
    <w:rsid w:val="0028575B"/>
    <w:rsid w:val="00363094"/>
    <w:rsid w:val="003A189C"/>
    <w:rsid w:val="003A37A3"/>
    <w:rsid w:val="003C4253"/>
    <w:rsid w:val="003C5B93"/>
    <w:rsid w:val="003F0E69"/>
    <w:rsid w:val="0041302D"/>
    <w:rsid w:val="00433ED5"/>
    <w:rsid w:val="00451C6E"/>
    <w:rsid w:val="00455C6C"/>
    <w:rsid w:val="00494C53"/>
    <w:rsid w:val="004E2B21"/>
    <w:rsid w:val="00607651"/>
    <w:rsid w:val="00674548"/>
    <w:rsid w:val="00690218"/>
    <w:rsid w:val="00774089"/>
    <w:rsid w:val="00777F27"/>
    <w:rsid w:val="007B2B4E"/>
    <w:rsid w:val="007B3207"/>
    <w:rsid w:val="007E2EC3"/>
    <w:rsid w:val="008253AB"/>
    <w:rsid w:val="00837DAE"/>
    <w:rsid w:val="0088396F"/>
    <w:rsid w:val="008912CA"/>
    <w:rsid w:val="008B6EBA"/>
    <w:rsid w:val="009175D7"/>
    <w:rsid w:val="009A2029"/>
    <w:rsid w:val="009B6D87"/>
    <w:rsid w:val="009E259C"/>
    <w:rsid w:val="00A25B84"/>
    <w:rsid w:val="00A425DD"/>
    <w:rsid w:val="00A744C9"/>
    <w:rsid w:val="00AB7C79"/>
    <w:rsid w:val="00AF34FA"/>
    <w:rsid w:val="00B7016F"/>
    <w:rsid w:val="00C00BBD"/>
    <w:rsid w:val="00C20E0A"/>
    <w:rsid w:val="00C90B9E"/>
    <w:rsid w:val="00D23D07"/>
    <w:rsid w:val="00D25533"/>
    <w:rsid w:val="00D452CF"/>
    <w:rsid w:val="00D51500"/>
    <w:rsid w:val="00D82172"/>
    <w:rsid w:val="00D8249B"/>
    <w:rsid w:val="00DB66C9"/>
    <w:rsid w:val="00DE7FDB"/>
    <w:rsid w:val="00E11858"/>
    <w:rsid w:val="00E22238"/>
    <w:rsid w:val="00E944D9"/>
    <w:rsid w:val="00EA2948"/>
    <w:rsid w:val="00EE37C2"/>
    <w:rsid w:val="00F20D74"/>
    <w:rsid w:val="00F3702C"/>
    <w:rsid w:val="00F847B7"/>
    <w:rsid w:val="00F90AC3"/>
    <w:rsid w:val="00FB689E"/>
    <w:rsid w:val="06F37359"/>
    <w:rsid w:val="072623F4"/>
    <w:rsid w:val="15673631"/>
    <w:rsid w:val="19F0659F"/>
    <w:rsid w:val="1A111C52"/>
    <w:rsid w:val="1BE158C8"/>
    <w:rsid w:val="298B4624"/>
    <w:rsid w:val="32C812C4"/>
    <w:rsid w:val="38C951F8"/>
    <w:rsid w:val="537537F4"/>
    <w:rsid w:val="571D387C"/>
    <w:rsid w:val="5FBA5172"/>
    <w:rsid w:val="679D68DB"/>
    <w:rsid w:val="67A13892"/>
    <w:rsid w:val="69AE4729"/>
    <w:rsid w:val="6BBC3185"/>
    <w:rsid w:val="6BB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CE6CC-FAEA-4BC5-8863-652C2C34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534</Words>
  <Characters>3049</Characters>
  <Lines>25</Lines>
  <Paragraphs>7</Paragraphs>
  <TotalTime>3</TotalTime>
  <ScaleCrop>false</ScaleCrop>
  <LinksUpToDate>false</LinksUpToDate>
  <CharactersWithSpaces>3576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2022-04-13T07:41:00Z</dcterms:created>
  <dc:creator>吴志勇</dc:creator>
  <cp:lastModifiedBy>刘晓</cp:lastModifiedBy>
  <dcterms:modified xsi:type="dcterms:W3CDTF">2023-04-19T09:24:48Z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D98FEA5B7C834F20808A2E06BC5C439B</vt:lpwstr>
  </property>
</Properties>
</file>