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755" w:rsidRDefault="006676B4">
      <w:pPr>
        <w:rPr>
          <w:rFonts w:ascii="仿宋_GB2312" w:eastAsia="仿宋_GB2312"/>
          <w:sz w:val="30"/>
          <w:szCs w:val="30"/>
        </w:rPr>
      </w:pPr>
      <w:r>
        <w:rPr>
          <w:rFonts w:ascii="宋体" w:hAnsi="宋体" w:hint="eastAsia"/>
          <w:b/>
          <w:color w:val="FF0000"/>
          <w:spacing w:val="-80"/>
          <w:w w:val="80"/>
          <w:sz w:val="120"/>
          <w:szCs w:val="120"/>
        </w:rPr>
        <w:t>南阳市卧龙区人民法院</w:t>
      </w:r>
    </w:p>
    <w:p w:rsidR="00A0765F" w:rsidRPr="00A0765F" w:rsidRDefault="00A0765F" w:rsidP="00A0765F">
      <w:pPr>
        <w:rPr>
          <w:rFonts w:ascii="仿宋_GB2312" w:eastAsia="仿宋_GB2312" w:hAnsi="新宋体" w:cs="Times New Roman"/>
          <w:b/>
          <w:bCs/>
          <w:sz w:val="32"/>
          <w:szCs w:val="32"/>
        </w:rPr>
      </w:pPr>
    </w:p>
    <w:p w:rsidR="00A0765F" w:rsidRPr="00A0765F" w:rsidRDefault="00A0765F" w:rsidP="000D37C4">
      <w:pPr>
        <w:spacing w:line="400" w:lineRule="exact"/>
        <w:ind w:firstLineChars="150" w:firstLine="480"/>
        <w:rPr>
          <w:rFonts w:ascii="仿宋_GB2312" w:eastAsia="仿宋_GB2312" w:hAnsi="新宋体" w:cs="Times New Roman"/>
          <w:color w:val="000000"/>
          <w:sz w:val="32"/>
          <w:szCs w:val="32"/>
        </w:rPr>
      </w:pPr>
      <w:r w:rsidRPr="00A0765F">
        <w:rPr>
          <w:rFonts w:ascii="仿宋_GB2312" w:eastAsia="仿宋_GB2312" w:hAnsi="新宋体" w:cs="Times New Roman" w:hint="eastAsia"/>
          <w:color w:val="000000"/>
          <w:sz w:val="32"/>
          <w:szCs w:val="32"/>
        </w:rPr>
        <w:t>宛龙法[202</w:t>
      </w:r>
      <w:r>
        <w:rPr>
          <w:rFonts w:ascii="仿宋_GB2312" w:eastAsia="仿宋_GB2312" w:hAnsi="新宋体" w:cs="Times New Roman" w:hint="eastAsia"/>
          <w:color w:val="000000"/>
          <w:sz w:val="32"/>
          <w:szCs w:val="32"/>
        </w:rPr>
        <w:t>2</w:t>
      </w:r>
      <w:r w:rsidRPr="00A0765F">
        <w:rPr>
          <w:rFonts w:ascii="仿宋_GB2312" w:eastAsia="仿宋_GB2312" w:hAnsi="新宋体" w:cs="Times New Roman" w:hint="eastAsia"/>
          <w:color w:val="000000"/>
          <w:sz w:val="32"/>
          <w:szCs w:val="32"/>
        </w:rPr>
        <w:t>]</w:t>
      </w:r>
      <w:r>
        <w:rPr>
          <w:rFonts w:ascii="仿宋_GB2312" w:eastAsia="仿宋_GB2312" w:hAnsi="新宋体" w:cs="Times New Roman" w:hint="eastAsia"/>
          <w:color w:val="000000"/>
          <w:sz w:val="32"/>
          <w:szCs w:val="32"/>
        </w:rPr>
        <w:t>80</w:t>
      </w:r>
      <w:r w:rsidRPr="00A0765F">
        <w:rPr>
          <w:rFonts w:ascii="仿宋_GB2312" w:eastAsia="仿宋_GB2312" w:hAnsi="新宋体" w:cs="Times New Roman" w:hint="eastAsia"/>
          <w:color w:val="000000"/>
          <w:sz w:val="32"/>
          <w:szCs w:val="32"/>
        </w:rPr>
        <w:t>号</w:t>
      </w:r>
      <w:r w:rsidR="000D37C4">
        <w:rPr>
          <w:rFonts w:ascii="仿宋_GB2312" w:eastAsia="仿宋_GB2312" w:hAnsi="新宋体" w:cs="Times New Roman" w:hint="eastAsia"/>
          <w:color w:val="000000"/>
          <w:sz w:val="32"/>
          <w:szCs w:val="32"/>
        </w:rPr>
        <w:t xml:space="preserve">                  签发人：康宏      </w:t>
      </w:r>
    </w:p>
    <w:p w:rsidR="00A0765F" w:rsidRPr="00A0765F" w:rsidRDefault="00A0765F" w:rsidP="00A0765F">
      <w:pPr>
        <w:spacing w:line="560" w:lineRule="exact"/>
        <w:jc w:val="center"/>
        <w:rPr>
          <w:rFonts w:ascii="仿宋_GB2312" w:eastAsia="仿宋_GB2312" w:hAnsi="Calibri" w:cs="Times New Roman"/>
          <w:sz w:val="3"/>
          <w:szCs w:val="3"/>
        </w:rPr>
      </w:pPr>
      <w:r>
        <w:rPr>
          <w:rFonts w:ascii="Calibri" w:eastAsia="宋体" w:hAnsi="Calibri" w:cs="Times New Roman"/>
          <w:noProof/>
          <w:szCs w:val="21"/>
        </w:rPr>
        <w:drawing>
          <wp:inline distT="0" distB="0" distL="0" distR="0">
            <wp:extent cx="5125720" cy="26035"/>
            <wp:effectExtent l="19050" t="0" r="0" b="0"/>
            <wp:docPr id="6" name="图片 1" descr="E:\Personal\Temp\ksohtml\wps9FB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Temp\ksohtml\wps9FB5.tmp.png"/>
                    <pic:cNvPicPr>
                      <a:picLocks noChangeAspect="1" noChangeArrowheads="1"/>
                    </pic:cNvPicPr>
                  </pic:nvPicPr>
                  <pic:blipFill>
                    <a:blip r:embed="rId9"/>
                    <a:srcRect/>
                    <a:stretch>
                      <a:fillRect/>
                    </a:stretch>
                  </pic:blipFill>
                  <pic:spPr bwMode="auto">
                    <a:xfrm>
                      <a:off x="0" y="0"/>
                      <a:ext cx="5125720" cy="26035"/>
                    </a:xfrm>
                    <a:prstGeom prst="rect">
                      <a:avLst/>
                    </a:prstGeom>
                    <a:noFill/>
                    <a:ln w="9525">
                      <a:noFill/>
                      <a:miter lim="800000"/>
                      <a:headEnd/>
                      <a:tailEnd/>
                    </a:ln>
                  </pic:spPr>
                </pic:pic>
              </a:graphicData>
            </a:graphic>
          </wp:inline>
        </w:drawing>
      </w:r>
    </w:p>
    <w:p w:rsidR="00566755" w:rsidRDefault="00566755" w:rsidP="00A0765F">
      <w:pPr>
        <w:pStyle w:val="a6"/>
        <w:tabs>
          <w:tab w:val="left" w:pos="0"/>
        </w:tabs>
        <w:spacing w:line="590" w:lineRule="exact"/>
        <w:ind w:left="-105" w:firstLineChars="100" w:firstLine="803"/>
        <w:jc w:val="left"/>
        <w:rPr>
          <w:rFonts w:ascii="新宋体" w:eastAsia="新宋体" w:hAnsi="新宋体"/>
          <w:b/>
          <w:color w:val="FF0000"/>
          <w:sz w:val="80"/>
          <w:szCs w:val="80"/>
          <w:u w:val="thick" w:color="FF0000"/>
        </w:rPr>
      </w:pPr>
    </w:p>
    <w:p w:rsidR="00566755" w:rsidRPr="00A0765F" w:rsidRDefault="00A0765F" w:rsidP="00601A4F">
      <w:pPr>
        <w:pStyle w:val="a4"/>
        <w:widowControl/>
        <w:shd w:val="clear" w:color="auto" w:fill="FFFFFF"/>
        <w:spacing w:beforeAutospacing="0" w:after="300" w:afterAutospacing="0"/>
        <w:ind w:left="1937" w:hangingChars="450" w:hanging="1937"/>
        <w:rPr>
          <w:rFonts w:ascii="华文中宋" w:eastAsia="华文中宋" w:hAnsi="华文中宋" w:cs="华文中宋"/>
          <w:b/>
          <w:color w:val="23272B"/>
          <w:sz w:val="43"/>
          <w:szCs w:val="43"/>
          <w:shd w:val="clear" w:color="auto" w:fill="FFFFFF"/>
        </w:rPr>
      </w:pPr>
      <w:r>
        <w:rPr>
          <w:rStyle w:val="a5"/>
          <w:rFonts w:ascii="华文中宋" w:eastAsia="华文中宋" w:hAnsi="华文中宋" w:cs="华文中宋" w:hint="eastAsia"/>
          <w:color w:val="23272B"/>
          <w:sz w:val="43"/>
          <w:szCs w:val="43"/>
          <w:shd w:val="clear" w:color="auto" w:fill="FFFFFF"/>
        </w:rPr>
        <w:t>南阳市</w:t>
      </w:r>
      <w:r w:rsidR="006676B4">
        <w:rPr>
          <w:rStyle w:val="a5"/>
          <w:rFonts w:ascii="华文中宋" w:eastAsia="华文中宋" w:hAnsi="华文中宋" w:cs="华文中宋" w:hint="eastAsia"/>
          <w:color w:val="23272B"/>
          <w:sz w:val="43"/>
          <w:szCs w:val="43"/>
          <w:shd w:val="clear" w:color="auto" w:fill="FFFFFF"/>
        </w:rPr>
        <w:t>卧龙区人民法院</w:t>
      </w:r>
      <w:r w:rsidR="006676B4">
        <w:rPr>
          <w:rStyle w:val="a5"/>
          <w:rFonts w:ascii="华文中宋" w:eastAsia="华文中宋" w:hAnsi="华文中宋" w:cs="华文中宋"/>
          <w:color w:val="23272B"/>
          <w:sz w:val="43"/>
          <w:szCs w:val="43"/>
          <w:shd w:val="clear" w:color="auto" w:fill="FFFFFF"/>
        </w:rPr>
        <w:t>“四类案件”</w:t>
      </w:r>
      <w:r w:rsidR="00601A4F">
        <w:rPr>
          <w:rStyle w:val="a5"/>
          <w:rFonts w:ascii="华文中宋" w:eastAsia="华文中宋" w:hAnsi="华文中宋" w:cs="华文中宋" w:hint="eastAsia"/>
          <w:color w:val="23272B"/>
          <w:sz w:val="43"/>
          <w:szCs w:val="43"/>
          <w:shd w:val="clear" w:color="auto" w:fill="FFFFFF"/>
        </w:rPr>
        <w:t xml:space="preserve"> </w:t>
      </w:r>
      <w:r w:rsidR="006676B4">
        <w:rPr>
          <w:rStyle w:val="a5"/>
          <w:rFonts w:ascii="华文中宋" w:eastAsia="华文中宋" w:hAnsi="华文中宋" w:cs="华文中宋"/>
          <w:color w:val="23272B"/>
          <w:sz w:val="43"/>
          <w:szCs w:val="43"/>
          <w:shd w:val="clear" w:color="auto" w:fill="FFFFFF"/>
        </w:rPr>
        <w:t>监管标注操作指引</w:t>
      </w:r>
      <w:r w:rsidR="006676B4">
        <w:rPr>
          <w:rStyle w:val="a5"/>
          <w:rFonts w:ascii="华文中宋" w:eastAsia="华文中宋" w:hAnsi="华文中宋" w:cs="华文中宋" w:hint="eastAsia"/>
          <w:color w:val="23272B"/>
          <w:sz w:val="43"/>
          <w:szCs w:val="43"/>
          <w:shd w:val="clear" w:color="auto" w:fill="FFFFFF"/>
        </w:rPr>
        <w:t>及说明</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四类案件”是“涉及群体性纠纷、可能影响社会稳定的案件，疑难、复杂且在社会上有重大影响的案件，与本院或者上级法院的类案判决可能发生冲突的案件，反映法官有违法审判行为或法官遇到干预过问情形的案件”等四类院庭长有权进行事中监督的案件的总称。为健全完善新型司法权制约监督机制，落实落细院庭长监管职责，推动“四类案件”监管平台实质化应用，根据《河南省高级人民法院健全完善司法权制约监督体系工作指引（试行）》及相关平台技术规则，制定本指引。</w:t>
      </w:r>
    </w:p>
    <w:p w:rsidR="00566755" w:rsidRDefault="006676B4">
      <w:pPr>
        <w:pStyle w:val="a4"/>
        <w:widowControl/>
        <w:numPr>
          <w:ilvl w:val="0"/>
          <w:numId w:val="2"/>
        </w:numPr>
        <w:shd w:val="clear" w:color="auto" w:fill="FFFFFF"/>
        <w:spacing w:beforeAutospacing="0" w:after="300" w:afterAutospacing="0"/>
        <w:ind w:firstLine="645"/>
        <w:rPr>
          <w:rFonts w:ascii="仿宋_GB2312" w:eastAsia="仿宋_GB2312" w:hAnsi="仿宋_GB2312" w:cs="仿宋_GB2312"/>
          <w:color w:val="23272B"/>
          <w:sz w:val="32"/>
          <w:szCs w:val="32"/>
          <w:shd w:val="clear" w:color="auto" w:fill="FFFFFF"/>
        </w:rPr>
      </w:pPr>
      <w:r>
        <w:rPr>
          <w:rFonts w:ascii="黑体" w:eastAsia="黑体" w:hAnsi="宋体" w:cs="黑体" w:hint="eastAsia"/>
          <w:color w:val="23272B"/>
          <w:sz w:val="32"/>
          <w:szCs w:val="32"/>
          <w:shd w:val="clear" w:color="auto" w:fill="FFFFFF"/>
        </w:rPr>
        <w:t>四类案件范围</w:t>
      </w:r>
    </w:p>
    <w:p w:rsidR="00566755" w:rsidRDefault="006676B4">
      <w:pPr>
        <w:pStyle w:val="a4"/>
        <w:widowControl/>
        <w:shd w:val="clear" w:color="auto" w:fill="FFFFFF"/>
        <w:spacing w:beforeAutospacing="0" w:after="300" w:afterAutospacing="0"/>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（一）涉及群体性纠纷，可能影响社会稳定的；</w:t>
      </w:r>
    </w:p>
    <w:p w:rsidR="00566755" w:rsidRDefault="006676B4">
      <w:pPr>
        <w:pStyle w:val="a4"/>
        <w:widowControl/>
        <w:shd w:val="clear" w:color="auto" w:fill="FFFFFF"/>
        <w:spacing w:beforeAutospacing="0" w:after="300" w:afterAutospacing="0"/>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lastRenderedPageBreak/>
        <w:t>（二）疑难、复杂且在社会上有重大影响的；</w:t>
      </w:r>
    </w:p>
    <w:p w:rsidR="00566755" w:rsidRDefault="006676B4">
      <w:pPr>
        <w:pStyle w:val="a4"/>
        <w:widowControl/>
        <w:shd w:val="clear" w:color="auto" w:fill="FFFFFF"/>
        <w:spacing w:beforeAutospacing="0" w:after="300" w:afterAutospacing="0"/>
        <w:jc w:val="both"/>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（三）与本院或者上级法院的类案判决可能发生冲突的；</w:t>
      </w:r>
    </w:p>
    <w:p w:rsidR="00566755" w:rsidRDefault="006676B4">
      <w:pPr>
        <w:pStyle w:val="a4"/>
        <w:widowControl/>
        <w:shd w:val="clear" w:color="auto" w:fill="FFFFFF"/>
        <w:spacing w:beforeAutospacing="0" w:after="300" w:afterAutospacing="0"/>
        <w:jc w:val="both"/>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（四）有关单位或者个人反应法官有违法审判行为的；</w:t>
      </w:r>
    </w:p>
    <w:p w:rsidR="00566755" w:rsidRDefault="006676B4">
      <w:pPr>
        <w:pStyle w:val="a4"/>
        <w:widowControl/>
        <w:shd w:val="clear" w:color="auto" w:fill="FFFFFF"/>
        <w:spacing w:beforeAutospacing="0" w:after="300" w:afterAutospacing="0"/>
        <w:jc w:val="both"/>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（五）临审限的案件（1.民事、行政案件实际审理天数超过180天；2.刑事案件审理天数超过90天；3.涉营商环境的执行合同案件实际审理天数超过45天的）;</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（六）再审、发回重审的案件。</w:t>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32"/>
          <w:szCs w:val="32"/>
        </w:rPr>
      </w:pPr>
      <w:r>
        <w:rPr>
          <w:rFonts w:ascii="黑体" w:eastAsia="黑体" w:hAnsi="宋体" w:cs="黑体" w:hint="eastAsia"/>
          <w:color w:val="23272B"/>
          <w:sz w:val="32"/>
          <w:szCs w:val="32"/>
          <w:shd w:val="clear" w:color="auto" w:fill="FFFFFF"/>
        </w:rPr>
        <w:t>二</w:t>
      </w:r>
      <w:r>
        <w:rPr>
          <w:rFonts w:ascii="黑体" w:eastAsia="黑体" w:hAnsi="宋体" w:cs="黑体"/>
          <w:color w:val="23272B"/>
          <w:sz w:val="32"/>
          <w:szCs w:val="32"/>
          <w:shd w:val="clear" w:color="auto" w:fill="FFFFFF"/>
        </w:rPr>
        <w:t>、案件标注</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对“四类案件”进行监管标注的方式分为自动标注和手动标注两种。自动标注系由监管平台根据相关识别规则，自动识别出“四类案件”并予以标注，自动提请监管。手动标注系由相关主体对系统自动标注之外的案件，经识别认为属于“四类案件”范围的，予以标注。案件被标注为“四类案件”的，</w:t>
      </w:r>
      <w:r>
        <w:rPr>
          <w:rFonts w:ascii="仿宋_GB2312" w:eastAsia="仿宋_GB2312" w:hAnsi="仿宋_GB2312" w:cs="仿宋_GB2312" w:hint="eastAsia"/>
          <w:b/>
          <w:bCs/>
          <w:color w:val="23272B"/>
          <w:sz w:val="32"/>
          <w:szCs w:val="32"/>
          <w:shd w:val="clear" w:color="auto" w:fill="FFFFFF"/>
        </w:rPr>
        <w:t>案件承办人需在“四类案件”监管平台对相关案件进行反馈</w:t>
      </w:r>
      <w:r>
        <w:rPr>
          <w:rFonts w:ascii="仿宋_GB2312" w:eastAsia="仿宋_GB2312" w:hAnsi="仿宋_GB2312" w:cs="仿宋_GB2312" w:hint="eastAsia"/>
          <w:color w:val="23272B"/>
          <w:sz w:val="32"/>
          <w:szCs w:val="32"/>
          <w:shd w:val="clear" w:color="auto" w:fill="FFFFFF"/>
        </w:rPr>
        <w:t>，并提交监管主体审批。承办人提交反馈申请后，由监管主体对反馈结果进行确认。</w:t>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32"/>
          <w:szCs w:val="32"/>
        </w:rPr>
      </w:pPr>
      <w:r>
        <w:rPr>
          <w:rFonts w:ascii="黑体" w:eastAsia="黑体" w:hAnsi="宋体" w:cs="黑体" w:hint="eastAsia"/>
          <w:color w:val="23272B"/>
          <w:sz w:val="32"/>
          <w:szCs w:val="32"/>
          <w:shd w:val="clear" w:color="auto" w:fill="FFFFFF"/>
        </w:rPr>
        <w:t>三、标注主体</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lastRenderedPageBreak/>
        <w:t>1.立案部门负责对涉及特殊群体、集团诉讼等案件进行识别，并在审判管理平台上予以标注，提醒承办法官。</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2.承办法官在审理过程中，应当主动对照“四类案件”范围进行排查，发现属于“四类案件”情形的，应当予以标记并向院庭长报告。</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法官助理在辅助承办法官办理案件时发现属于“四类案件”范围的，应当提醒承办法官标注。</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合议庭其他成员在参与案件审理过程中认为案件属于“四类案件”范围的，应当提醒承办法官标注，提醒过程及提醒内容应记入合议笔录。</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3.纪检、督察部门接到举报法官违法办案的，经审查认为属于“四类案件”情形的，应当予以标注，并按流程提交法官所在部门庭长监督。</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4.其他部门在办理信访维稳、监督舆情、联络代表委员等工作中发现可能属于“四类案件”情形的，应当及时标注，并按流程提交监督。</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5.院庭长在日常案件管理工作中，发现属于“四类案件”需要进行监管的，有责任启动个案监督程序，但应以规范方式进行。</w:t>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32"/>
          <w:szCs w:val="32"/>
        </w:rPr>
      </w:pPr>
      <w:r>
        <w:rPr>
          <w:rFonts w:ascii="黑体" w:eastAsia="黑体" w:hAnsi="宋体" w:cs="黑体" w:hint="eastAsia"/>
          <w:color w:val="23272B"/>
          <w:sz w:val="32"/>
          <w:szCs w:val="32"/>
          <w:shd w:val="clear" w:color="auto" w:fill="FFFFFF"/>
        </w:rPr>
        <w:lastRenderedPageBreak/>
        <w:t>四、操作方法及步骤</w:t>
      </w:r>
    </w:p>
    <w:p w:rsidR="00566755" w:rsidRDefault="006676B4">
      <w:pPr>
        <w:pStyle w:val="a4"/>
        <w:widowControl/>
        <w:shd w:val="clear" w:color="auto" w:fill="FFFFFF"/>
        <w:spacing w:beforeAutospacing="0" w:after="300" w:afterAutospacing="0"/>
        <w:ind w:firstLine="645"/>
        <w:rPr>
          <w:rFonts w:ascii="微软雅黑" w:eastAsia="楷体_GB2312" w:hAnsi="微软雅黑" w:cs="微软雅黑"/>
          <w:b/>
          <w:bCs/>
          <w:color w:val="23272B"/>
          <w:sz w:val="32"/>
          <w:szCs w:val="32"/>
        </w:rPr>
      </w:pPr>
      <w:r>
        <w:rPr>
          <w:rFonts w:ascii="楷体_GB2312" w:eastAsia="楷体_GB2312" w:hAnsi="微软雅黑" w:cs="楷体_GB2312"/>
          <w:b/>
          <w:bCs/>
          <w:color w:val="23272B"/>
          <w:sz w:val="32"/>
          <w:szCs w:val="32"/>
          <w:shd w:val="clear" w:color="auto" w:fill="FFFFFF"/>
        </w:rPr>
        <w:t>（一）</w:t>
      </w:r>
      <w:r>
        <w:rPr>
          <w:rFonts w:ascii="楷体_GB2312" w:eastAsia="楷体_GB2312" w:hAnsi="微软雅黑" w:cs="楷体_GB2312" w:hint="eastAsia"/>
          <w:b/>
          <w:bCs/>
          <w:color w:val="23272B"/>
          <w:sz w:val="32"/>
          <w:szCs w:val="32"/>
          <w:shd w:val="clear" w:color="auto" w:fill="FFFFFF"/>
        </w:rPr>
        <w:t>标注方式</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1、立案人员标注方式</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在立案系统中点击“甄别风险并提交”按钮，显示立案风险甄别页面，满足审判系统案件筛查中设置的条件的案件，“敏感案件”会自动选择为“是”，点击“确定收案”，可跳转到登记界面进行提请监管案件。</w:t>
      </w:r>
    </w:p>
    <w:p w:rsidR="00566755" w:rsidRDefault="006676B4">
      <w:pPr>
        <w:pStyle w:val="a4"/>
        <w:widowControl/>
        <w:shd w:val="clear" w:color="auto" w:fill="FFFFFF"/>
        <w:spacing w:beforeAutospacing="0" w:after="300" w:afterAutospacing="0"/>
        <w:ind w:firstLine="645"/>
        <w:jc w:val="both"/>
        <w:rPr>
          <w:rFonts w:ascii="微软雅黑" w:eastAsia="微软雅黑" w:hAnsi="微软雅黑" w:cs="微软雅黑"/>
          <w:color w:val="23272B"/>
          <w:sz w:val="27"/>
          <w:szCs w:val="27"/>
        </w:rPr>
      </w:pPr>
      <w:r>
        <w:rPr>
          <w:rFonts w:ascii="仿宋_GB2312" w:eastAsia="仿宋_GB2312" w:hAnsi="微软雅黑" w:cs="仿宋_GB2312"/>
          <w:color w:val="23272B"/>
          <w:sz w:val="32"/>
          <w:szCs w:val="32"/>
          <w:shd w:val="clear" w:color="auto" w:fill="FFFFFF"/>
        </w:rPr>
        <w:t>信息的登记，立案部门标注重大敏感案件默认监管级别为庭长监管，案件分案后，系统会给案件承办法官和案件所在庭室庭长发送提示消息</w:t>
      </w:r>
      <w:r>
        <w:rPr>
          <w:rFonts w:ascii="仿宋_GB2312" w:eastAsia="仿宋_GB2312" w:hAnsi="微软雅黑" w:cs="仿宋_GB2312"/>
          <w:color w:val="23272B"/>
          <w:sz w:val="31"/>
          <w:szCs w:val="31"/>
          <w:shd w:val="clear" w:color="auto" w:fill="FFFFFF"/>
        </w:rPr>
        <w:t>。</w:t>
      </w:r>
    </w:p>
    <w:p w:rsidR="00566755" w:rsidRDefault="006676B4">
      <w:pPr>
        <w:pStyle w:val="a4"/>
        <w:widowControl/>
        <w:shd w:val="clear" w:color="auto" w:fill="FFFFFF"/>
        <w:spacing w:beforeAutospacing="0" w:after="300" w:afterAutospacing="0"/>
        <w:jc w:val="center"/>
      </w:pPr>
      <w:r>
        <w:rPr>
          <w:noProof/>
        </w:rPr>
        <w:drawing>
          <wp:inline distT="0" distB="0" distL="0" distR="0">
            <wp:extent cx="5274310" cy="2527300"/>
            <wp:effectExtent l="0" t="0" r="2540" b="6350"/>
            <wp:docPr id="3" name="图片 3" descr="C:\Users\ADMINI~1\AppData\Local\Temp\Thunisoft\CoCall4\Temp\697ea40f1dc093320359f07339722c5b_155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Thunisoft\CoCall4\Temp\697ea40f1dc093320359f07339722c5b_155255.png"/>
                    <pic:cNvPicPr>
                      <a:picLocks noChangeAspect="1" noChangeArrowheads="1"/>
                    </pic:cNvPicPr>
                  </pic:nvPicPr>
                  <pic:blipFill>
                    <a:blip r:embed="rId10"/>
                    <a:srcRect/>
                    <a:stretch>
                      <a:fillRect/>
                    </a:stretch>
                  </pic:blipFill>
                  <pic:spPr>
                    <a:xfrm>
                      <a:off x="0" y="0"/>
                      <a:ext cx="5274310" cy="2527300"/>
                    </a:xfrm>
                    <a:prstGeom prst="rect">
                      <a:avLst/>
                    </a:prstGeom>
                    <a:noFill/>
                    <a:ln w="9525">
                      <a:noFill/>
                      <a:miter lim="800000"/>
                      <a:headEnd/>
                      <a:tailEnd/>
                    </a:ln>
                  </pic:spPr>
                </pic:pic>
              </a:graphicData>
            </a:graphic>
          </wp:inline>
        </w:drawing>
      </w:r>
    </w:p>
    <w:p w:rsidR="00566755" w:rsidRDefault="006676B4">
      <w:pPr>
        <w:pStyle w:val="a4"/>
        <w:widowControl/>
        <w:shd w:val="clear" w:color="auto" w:fill="FFFFFF"/>
        <w:spacing w:beforeAutospacing="0" w:after="300" w:afterAutospacing="0"/>
        <w:jc w:val="center"/>
        <w:rPr>
          <w:i/>
          <w:iCs/>
        </w:rPr>
      </w:pPr>
      <w:r>
        <w:rPr>
          <w:rFonts w:hint="eastAsia"/>
          <w:i/>
          <w:iCs/>
          <w:noProof/>
        </w:rPr>
        <w:lastRenderedPageBreak/>
        <w:drawing>
          <wp:inline distT="0" distB="0" distL="114300" distR="114300">
            <wp:extent cx="5350510" cy="4609465"/>
            <wp:effectExtent l="0" t="0" r="2540" b="635"/>
            <wp:docPr id="4" name="图片 4" descr="当事人画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当事人画像-2"/>
                    <pic:cNvPicPr>
                      <a:picLocks noChangeAspect="1"/>
                    </pic:cNvPicPr>
                  </pic:nvPicPr>
                  <pic:blipFill>
                    <a:blip r:embed="rId11"/>
                    <a:srcRect/>
                    <a:stretch>
                      <a:fillRect/>
                    </a:stretch>
                  </pic:blipFill>
                  <pic:spPr>
                    <a:xfrm>
                      <a:off x="0" y="0"/>
                      <a:ext cx="5350510" cy="4609465"/>
                    </a:xfrm>
                    <a:prstGeom prst="rect">
                      <a:avLst/>
                    </a:prstGeom>
                  </pic:spPr>
                </pic:pic>
              </a:graphicData>
            </a:graphic>
          </wp:inline>
        </w:drawing>
      </w:r>
    </w:p>
    <w:p w:rsidR="00566755" w:rsidRDefault="006676B4">
      <w:pPr>
        <w:pStyle w:val="a4"/>
        <w:widowControl/>
        <w:shd w:val="clear" w:color="auto" w:fill="FFFFFF"/>
        <w:spacing w:beforeAutospacing="0" w:after="300" w:afterAutospacing="0"/>
        <w:jc w:val="center"/>
        <w:rPr>
          <w:i/>
          <w:iCs/>
        </w:rPr>
      </w:pPr>
      <w:r>
        <w:rPr>
          <w:rFonts w:hint="eastAsia"/>
          <w:i/>
          <w:iCs/>
          <w:noProof/>
        </w:rPr>
        <w:drawing>
          <wp:inline distT="0" distB="0" distL="114300" distR="114300">
            <wp:extent cx="5268595" cy="3663950"/>
            <wp:effectExtent l="0" t="0" r="8255" b="12700"/>
            <wp:docPr id="5" name="图片 5" descr="当事人画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当事人画像-3"/>
                    <pic:cNvPicPr>
                      <a:picLocks noChangeAspect="1"/>
                    </pic:cNvPicPr>
                  </pic:nvPicPr>
                  <pic:blipFill>
                    <a:blip r:embed="rId12"/>
                    <a:srcRect/>
                    <a:stretch>
                      <a:fillRect/>
                    </a:stretch>
                  </pic:blipFill>
                  <pic:spPr>
                    <a:xfrm>
                      <a:off x="0" y="0"/>
                      <a:ext cx="5268595" cy="3663950"/>
                    </a:xfrm>
                    <a:prstGeom prst="rect">
                      <a:avLst/>
                    </a:prstGeom>
                  </pic:spPr>
                </pic:pic>
              </a:graphicData>
            </a:graphic>
          </wp:inline>
        </w:drawing>
      </w:r>
    </w:p>
    <w:p w:rsidR="00566755" w:rsidRDefault="006676B4">
      <w:pPr>
        <w:pStyle w:val="3"/>
        <w:widowControl/>
        <w:shd w:val="clear" w:color="auto" w:fill="FFFFFF"/>
        <w:spacing w:beforeAutospacing="0" w:afterAutospacing="0"/>
        <w:ind w:firstLine="645"/>
        <w:jc w:val="both"/>
        <w:rPr>
          <w:rFonts w:ascii="微软雅黑" w:eastAsia="微软雅黑" w:hAnsi="微软雅黑" w:cs="微软雅黑" w:hint="default"/>
          <w:color w:val="000000"/>
        </w:rPr>
      </w:pPr>
      <w:r>
        <w:rPr>
          <w:rFonts w:ascii="楷体_GB2312" w:eastAsia="楷体_GB2312" w:hAnsi="微软雅黑" w:cs="楷体_GB2312" w:hint="default"/>
          <w:b w:val="0"/>
          <w:bCs w:val="0"/>
          <w:color w:val="000000"/>
          <w:sz w:val="31"/>
          <w:szCs w:val="31"/>
          <w:shd w:val="clear" w:color="auto" w:fill="FFFFFF"/>
        </w:rPr>
        <w:lastRenderedPageBreak/>
        <w:t> </w:t>
      </w:r>
    </w:p>
    <w:p w:rsidR="00566755" w:rsidRDefault="00566755">
      <w:pPr>
        <w:pStyle w:val="3"/>
        <w:widowControl/>
        <w:shd w:val="clear" w:color="auto" w:fill="FFFFFF"/>
        <w:spacing w:beforeAutospacing="0" w:afterAutospacing="0"/>
        <w:ind w:firstLine="645"/>
        <w:jc w:val="both"/>
        <w:rPr>
          <w:rFonts w:ascii="楷体_GB2312" w:eastAsia="楷体_GB2312" w:hAnsi="微软雅黑" w:cs="楷体_GB2312" w:hint="default"/>
          <w:b w:val="0"/>
          <w:bCs w:val="0"/>
          <w:color w:val="000000"/>
          <w:sz w:val="31"/>
          <w:szCs w:val="31"/>
          <w:shd w:val="clear" w:color="auto" w:fill="FFFFFF"/>
        </w:rPr>
      </w:pPr>
    </w:p>
    <w:p w:rsidR="00566755" w:rsidRDefault="00566755">
      <w:pPr>
        <w:pStyle w:val="3"/>
        <w:widowControl/>
        <w:shd w:val="clear" w:color="auto" w:fill="FFFFFF"/>
        <w:spacing w:beforeAutospacing="0" w:afterAutospacing="0"/>
        <w:ind w:firstLine="645"/>
        <w:jc w:val="both"/>
        <w:rPr>
          <w:rFonts w:ascii="仿宋_GB2312" w:eastAsia="仿宋_GB2312" w:hAnsi="仿宋_GB2312" w:cs="仿宋_GB2312" w:hint="default"/>
          <w:b w:val="0"/>
          <w:bCs w:val="0"/>
          <w:color w:val="000000"/>
          <w:sz w:val="32"/>
          <w:szCs w:val="32"/>
          <w:shd w:val="clear" w:color="auto" w:fill="FFFFFF"/>
        </w:rPr>
      </w:pPr>
    </w:p>
    <w:p w:rsidR="00566755" w:rsidRDefault="006676B4">
      <w:pPr>
        <w:pStyle w:val="3"/>
        <w:widowControl/>
        <w:shd w:val="clear" w:color="auto" w:fill="FFFFFF"/>
        <w:spacing w:beforeAutospacing="0" w:afterAutospacing="0"/>
        <w:ind w:firstLine="645"/>
        <w:jc w:val="both"/>
        <w:rPr>
          <w:rFonts w:ascii="仿宋_GB2312" w:eastAsia="仿宋_GB2312" w:hAnsi="仿宋_GB2312" w:cs="仿宋_GB2312" w:hint="default"/>
          <w:b w:val="0"/>
          <w:bCs w:val="0"/>
          <w:color w:val="23272B"/>
          <w:sz w:val="32"/>
          <w:szCs w:val="32"/>
          <w:shd w:val="clear" w:color="auto" w:fill="FFFFFF"/>
        </w:rPr>
      </w:pPr>
      <w:r>
        <w:rPr>
          <w:rFonts w:ascii="仿宋_GB2312" w:eastAsia="仿宋_GB2312" w:hAnsi="仿宋_GB2312" w:cs="仿宋_GB2312"/>
          <w:b w:val="0"/>
          <w:bCs w:val="0"/>
          <w:color w:val="23272B"/>
          <w:sz w:val="32"/>
          <w:szCs w:val="32"/>
          <w:shd w:val="clear" w:color="auto" w:fill="FFFFFF"/>
        </w:rPr>
        <w:t>2、承办人对其所承办“四类案件”标注方式</w:t>
      </w:r>
    </w:p>
    <w:p w:rsidR="00566755" w:rsidRDefault="006676B4">
      <w:pPr>
        <w:pStyle w:val="3"/>
        <w:widowControl/>
        <w:shd w:val="clear" w:color="auto" w:fill="FFFFFF"/>
        <w:spacing w:beforeAutospacing="0" w:afterAutospacing="0"/>
        <w:ind w:firstLine="645"/>
        <w:jc w:val="both"/>
        <w:rPr>
          <w:rFonts w:ascii="仿宋_GB2312" w:eastAsia="仿宋_GB2312" w:hAnsi="仿宋_GB2312" w:cs="仿宋_GB2312" w:hint="default"/>
          <w:color w:val="000000"/>
          <w:sz w:val="32"/>
          <w:szCs w:val="32"/>
        </w:rPr>
      </w:pPr>
      <w:r>
        <w:rPr>
          <w:rFonts w:ascii="仿宋_GB2312" w:eastAsia="仿宋_GB2312" w:hAnsi="仿宋_GB2312" w:cs="仿宋_GB2312"/>
          <w:b w:val="0"/>
          <w:bCs w:val="0"/>
          <w:color w:val="000000"/>
          <w:sz w:val="32"/>
          <w:szCs w:val="32"/>
          <w:shd w:val="clear" w:color="auto" w:fill="FFFFFF"/>
        </w:rPr>
        <w:t>第一种方式：可以通过“四类案件”监管系统进行标注。</w:t>
      </w:r>
    </w:p>
    <w:p w:rsidR="00566755" w:rsidRDefault="006676B4" w:rsidP="00A0765F">
      <w:pPr>
        <w:pStyle w:val="3"/>
        <w:widowControl/>
        <w:shd w:val="clear" w:color="auto" w:fill="FFFFFF"/>
        <w:spacing w:beforeAutospacing="0" w:afterAutospacing="0"/>
        <w:ind w:firstLineChars="200" w:firstLine="640"/>
        <w:jc w:val="both"/>
        <w:rPr>
          <w:rFonts w:ascii="仿宋_GB2312" w:eastAsia="仿宋_GB2312" w:hAnsi="仿宋_GB2312" w:cs="仿宋_GB2312" w:hint="default"/>
          <w:color w:val="000000"/>
          <w:sz w:val="32"/>
          <w:szCs w:val="32"/>
        </w:rPr>
      </w:pPr>
      <w:r>
        <w:rPr>
          <w:rFonts w:ascii="仿宋_GB2312" w:eastAsia="仿宋_GB2312" w:hAnsi="仿宋_GB2312" w:cs="仿宋_GB2312"/>
          <w:b w:val="0"/>
          <w:bCs w:val="0"/>
          <w:color w:val="000000"/>
          <w:sz w:val="32"/>
          <w:szCs w:val="32"/>
          <w:shd w:val="clear" w:color="auto" w:fill="FFFFFF"/>
        </w:rPr>
        <w:t>点击审判流程系统首页面右侧的“更多应用”，进入“四类案件”监管系统。</w:t>
      </w:r>
    </w:p>
    <w:p w:rsidR="00566755" w:rsidRDefault="006676B4">
      <w:pPr>
        <w:pStyle w:val="a4"/>
        <w:widowControl/>
        <w:shd w:val="clear" w:color="auto" w:fill="FFFFFF"/>
        <w:spacing w:beforeAutospacing="0" w:after="300" w:afterAutospacing="0"/>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 </w:t>
      </w:r>
    </w:p>
    <w:p w:rsidR="00566755" w:rsidRDefault="006676B4">
      <w:pPr>
        <w:pStyle w:val="a4"/>
        <w:widowControl/>
        <w:shd w:val="clear" w:color="auto" w:fill="FFFFFF"/>
        <w:spacing w:beforeAutospacing="0" w:after="300" w:afterAutospacing="0"/>
        <w:jc w:val="center"/>
        <w:rPr>
          <w:rFonts w:ascii="微软雅黑" w:eastAsia="微软雅黑" w:hAnsi="微软雅黑" w:cs="微软雅黑"/>
          <w:color w:val="23272B"/>
          <w:sz w:val="27"/>
          <w:szCs w:val="27"/>
        </w:rPr>
      </w:pPr>
      <w:r>
        <w:rPr>
          <w:rFonts w:ascii="微软雅黑" w:eastAsia="微软雅黑" w:hAnsi="微软雅黑" w:cs="微软雅黑" w:hint="eastAsia"/>
          <w:noProof/>
          <w:color w:val="23272B"/>
          <w:sz w:val="27"/>
          <w:szCs w:val="27"/>
        </w:rPr>
        <w:drawing>
          <wp:inline distT="0" distB="0" distL="114300" distR="114300">
            <wp:extent cx="5273040" cy="3572510"/>
            <wp:effectExtent l="0" t="0" r="3810" b="8890"/>
            <wp:docPr id="46" name="图片 46" descr="b4dd732d4e0144258fb702671f71f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4dd732d4e0144258fb702671f71fa2b"/>
                    <pic:cNvPicPr>
                      <a:picLocks noChangeAspect="1"/>
                    </pic:cNvPicPr>
                  </pic:nvPicPr>
                  <pic:blipFill>
                    <a:blip r:embed="rId13"/>
                    <a:srcRect/>
                    <a:stretch>
                      <a:fillRect/>
                    </a:stretch>
                  </pic:blipFill>
                  <pic:spPr>
                    <a:xfrm>
                      <a:off x="0" y="0"/>
                      <a:ext cx="5273040" cy="3572510"/>
                    </a:xfrm>
                    <a:prstGeom prst="rect">
                      <a:avLst/>
                    </a:prstGeom>
                  </pic:spPr>
                </pic:pic>
              </a:graphicData>
            </a:graphic>
          </wp:inline>
        </w:drawing>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27"/>
          <w:szCs w:val="27"/>
        </w:rPr>
      </w:pPr>
      <w:r>
        <w:rPr>
          <w:rFonts w:ascii="仿宋" w:eastAsia="仿宋" w:hAnsi="仿宋" w:cs="仿宋"/>
          <w:color w:val="23272B"/>
          <w:sz w:val="31"/>
          <w:szCs w:val="31"/>
          <w:shd w:val="clear" w:color="auto" w:fill="FFFFFF"/>
        </w:rPr>
        <w:lastRenderedPageBreak/>
        <w:t> </w:t>
      </w:r>
      <w:r>
        <w:rPr>
          <w:rFonts w:ascii="微软雅黑" w:eastAsia="微软雅黑" w:hAnsi="微软雅黑" w:cs="微软雅黑" w:hint="eastAsia"/>
          <w:noProof/>
          <w:color w:val="23272B"/>
          <w:sz w:val="27"/>
          <w:szCs w:val="27"/>
        </w:rPr>
        <w:drawing>
          <wp:inline distT="0" distB="0" distL="114300" distR="114300">
            <wp:extent cx="5266055" cy="1216660"/>
            <wp:effectExtent l="0" t="0" r="10795" b="2540"/>
            <wp:docPr id="47" name="图片 47" descr="3cd3f2cab3104e438a7e661541289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cd3f2cab3104e438a7e661541289f74"/>
                    <pic:cNvPicPr>
                      <a:picLocks noChangeAspect="1"/>
                    </pic:cNvPicPr>
                  </pic:nvPicPr>
                  <pic:blipFill>
                    <a:blip r:embed="rId14"/>
                    <a:srcRect/>
                    <a:stretch>
                      <a:fillRect/>
                    </a:stretch>
                  </pic:blipFill>
                  <pic:spPr>
                    <a:xfrm>
                      <a:off x="0" y="0"/>
                      <a:ext cx="5266055" cy="1216660"/>
                    </a:xfrm>
                    <a:prstGeom prst="rect">
                      <a:avLst/>
                    </a:prstGeom>
                  </pic:spPr>
                </pic:pic>
              </a:graphicData>
            </a:graphic>
          </wp:inline>
        </w:drawing>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点击左侧栏目的“案件标注”可以先进行案件检索，然后点击“确认监管”按钮对案件进行提请监管，案件首次提请监管级别为庭长监管。</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23272B"/>
          <w:sz w:val="32"/>
          <w:szCs w:val="32"/>
          <w:shd w:val="clear" w:color="auto" w:fill="FFFFFF"/>
        </w:rPr>
        <w:t>承办人检索范围：承办法官对应本人承办的全部案件。</w:t>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27"/>
          <w:szCs w:val="27"/>
        </w:rPr>
      </w:pPr>
      <w:r>
        <w:rPr>
          <w:rFonts w:ascii="仿宋_GB2312" w:eastAsia="仿宋_GB2312" w:hAnsi="仿宋_GB2312" w:cs="仿宋_GB2312" w:hint="eastAsia"/>
          <w:color w:val="23272B"/>
          <w:sz w:val="32"/>
          <w:szCs w:val="32"/>
          <w:shd w:val="clear" w:color="auto" w:fill="FFFFFF"/>
        </w:rPr>
        <w:t>点击“确认监管”按钮后跳转到案件标注页面，填写下图中的①②③，填写完毕后点击“提交”即可。</w:t>
      </w:r>
      <w:r>
        <w:rPr>
          <w:rFonts w:ascii="微软雅黑" w:eastAsia="微软雅黑" w:hAnsi="微软雅黑" w:cs="微软雅黑" w:hint="eastAsia"/>
          <w:noProof/>
          <w:color w:val="23272B"/>
          <w:sz w:val="27"/>
          <w:szCs w:val="27"/>
        </w:rPr>
        <w:drawing>
          <wp:inline distT="0" distB="0" distL="114300" distR="114300">
            <wp:extent cx="5259705" cy="1080135"/>
            <wp:effectExtent l="0" t="0" r="17145" b="5715"/>
            <wp:docPr id="48" name="图片 48" descr="87825a43eed54c7bb88743d83b187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7825a43eed54c7bb88743d83b187b63"/>
                    <pic:cNvPicPr>
                      <a:picLocks noChangeAspect="1"/>
                    </pic:cNvPicPr>
                  </pic:nvPicPr>
                  <pic:blipFill>
                    <a:blip r:embed="rId15"/>
                    <a:srcRect/>
                    <a:stretch>
                      <a:fillRect/>
                    </a:stretch>
                  </pic:blipFill>
                  <pic:spPr>
                    <a:xfrm>
                      <a:off x="0" y="0"/>
                      <a:ext cx="5259705" cy="1080135"/>
                    </a:xfrm>
                    <a:prstGeom prst="rect">
                      <a:avLst/>
                    </a:prstGeom>
                  </pic:spPr>
                </pic:pic>
              </a:graphicData>
            </a:graphic>
          </wp:inline>
        </w:drawing>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第二种方式：承办法官可在办理中的案件编辑页面将发现的“四类案件”进行监管标记：</w:t>
      </w:r>
    </w:p>
    <w:p w:rsidR="00566755" w:rsidRDefault="006676B4">
      <w:pPr>
        <w:pStyle w:val="a4"/>
        <w:widowControl/>
        <w:shd w:val="clear" w:color="auto" w:fill="FFFFFF"/>
        <w:spacing w:beforeAutospacing="0" w:after="300" w:afterAutospacing="0"/>
        <w:rPr>
          <w:rFonts w:ascii="微软雅黑" w:eastAsia="微软雅黑" w:hAnsi="微软雅黑" w:cs="微软雅黑"/>
          <w:color w:val="23272B"/>
          <w:sz w:val="27"/>
          <w:szCs w:val="27"/>
        </w:rPr>
      </w:pPr>
      <w:r>
        <w:rPr>
          <w:rFonts w:ascii="微软雅黑" w:eastAsia="微软雅黑" w:hAnsi="微软雅黑" w:cs="微软雅黑" w:hint="eastAsia"/>
          <w:noProof/>
          <w:color w:val="23272B"/>
          <w:sz w:val="27"/>
          <w:szCs w:val="27"/>
        </w:rPr>
        <w:lastRenderedPageBreak/>
        <w:drawing>
          <wp:inline distT="0" distB="0" distL="114300" distR="114300">
            <wp:extent cx="5264785" cy="3481070"/>
            <wp:effectExtent l="0" t="0" r="12065" b="5080"/>
            <wp:docPr id="49" name="图片 49" descr="6990c92b0d184332bc66674062fb6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990c92b0d184332bc66674062fb685b"/>
                    <pic:cNvPicPr>
                      <a:picLocks noChangeAspect="1"/>
                    </pic:cNvPicPr>
                  </pic:nvPicPr>
                  <pic:blipFill>
                    <a:blip r:embed="rId16"/>
                    <a:srcRect/>
                    <a:stretch>
                      <a:fillRect/>
                    </a:stretch>
                  </pic:blipFill>
                  <pic:spPr>
                    <a:xfrm>
                      <a:off x="0" y="0"/>
                      <a:ext cx="5264785" cy="3481070"/>
                    </a:xfrm>
                    <a:prstGeom prst="rect">
                      <a:avLst/>
                    </a:prstGeom>
                  </pic:spPr>
                </pic:pic>
              </a:graphicData>
            </a:graphic>
          </wp:inline>
        </w:drawing>
      </w:r>
    </w:p>
    <w:p w:rsidR="00566755" w:rsidRDefault="006676B4">
      <w:pPr>
        <w:pStyle w:val="a4"/>
        <w:widowControl/>
        <w:shd w:val="clear" w:color="auto" w:fill="FFFFFF"/>
        <w:spacing w:beforeAutospacing="0" w:after="300" w:afterAutospacing="0"/>
        <w:jc w:val="center"/>
        <w:rPr>
          <w:rFonts w:ascii="微软雅黑" w:eastAsia="微软雅黑" w:hAnsi="微软雅黑" w:cs="微软雅黑"/>
          <w:color w:val="23272B"/>
          <w:sz w:val="27"/>
          <w:szCs w:val="27"/>
        </w:rPr>
      </w:pPr>
      <w:r>
        <w:rPr>
          <w:rFonts w:ascii="微软雅黑" w:eastAsia="微软雅黑" w:hAnsi="微软雅黑" w:cs="微软雅黑" w:hint="eastAsia"/>
          <w:noProof/>
          <w:color w:val="23272B"/>
          <w:sz w:val="27"/>
          <w:szCs w:val="27"/>
        </w:rPr>
        <w:drawing>
          <wp:inline distT="0" distB="0" distL="114300" distR="114300">
            <wp:extent cx="5273675" cy="3032760"/>
            <wp:effectExtent l="0" t="0" r="3175" b="15240"/>
            <wp:docPr id="50" name="图片 50" descr="5a2bd4e2f7b8410fbbbb244840b69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a2bd4e2f7b8410fbbbb244840b69eb8"/>
                    <pic:cNvPicPr>
                      <a:picLocks noChangeAspect="1"/>
                    </pic:cNvPicPr>
                  </pic:nvPicPr>
                  <pic:blipFill>
                    <a:blip r:embed="rId17"/>
                    <a:srcRect/>
                    <a:stretch>
                      <a:fillRect/>
                    </a:stretch>
                  </pic:blipFill>
                  <pic:spPr>
                    <a:xfrm>
                      <a:off x="0" y="0"/>
                      <a:ext cx="5273675" cy="3032760"/>
                    </a:xfrm>
                    <a:prstGeom prst="rect">
                      <a:avLst/>
                    </a:prstGeom>
                  </pic:spPr>
                </pic:pic>
              </a:graphicData>
            </a:graphic>
          </wp:inline>
        </w:drawing>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27"/>
          <w:szCs w:val="27"/>
        </w:rPr>
      </w:pPr>
      <w:r>
        <w:rPr>
          <w:rFonts w:ascii="仿宋_GB2312" w:eastAsia="仿宋_GB2312" w:hAnsi="微软雅黑" w:cs="仿宋_GB2312"/>
          <w:color w:val="23272B"/>
          <w:sz w:val="31"/>
          <w:szCs w:val="31"/>
          <w:shd w:val="clear" w:color="auto" w:fill="FFFFFF"/>
        </w:rPr>
        <w:t>点击</w:t>
      </w:r>
      <w:r>
        <w:rPr>
          <w:rFonts w:ascii="仿宋_GB2312" w:eastAsia="仿宋_GB2312" w:hAnsi="微软雅黑" w:cs="仿宋_GB2312"/>
          <w:color w:val="23272B"/>
          <w:sz w:val="31"/>
          <w:szCs w:val="31"/>
          <w:shd w:val="clear" w:color="auto" w:fill="FFFFFF"/>
        </w:rPr>
        <w:t>“</w:t>
      </w:r>
      <w:r>
        <w:rPr>
          <w:rFonts w:ascii="仿宋_GB2312" w:eastAsia="仿宋_GB2312" w:hAnsi="微软雅黑" w:cs="仿宋_GB2312" w:hint="eastAsia"/>
          <w:color w:val="23272B"/>
          <w:sz w:val="31"/>
          <w:szCs w:val="31"/>
          <w:shd w:val="clear" w:color="auto" w:fill="FFFFFF"/>
        </w:rPr>
        <w:t>监管案件管理</w:t>
      </w:r>
      <w:r>
        <w:rPr>
          <w:rFonts w:ascii="仿宋_GB2312" w:eastAsia="仿宋_GB2312" w:hAnsi="微软雅黑" w:cs="仿宋_GB2312"/>
          <w:color w:val="23272B"/>
          <w:sz w:val="31"/>
          <w:szCs w:val="31"/>
          <w:shd w:val="clear" w:color="auto" w:fill="FFFFFF"/>
        </w:rPr>
        <w:t>”</w:t>
      </w:r>
      <w:r>
        <w:rPr>
          <w:rFonts w:ascii="仿宋_GB2312" w:eastAsia="仿宋_GB2312" w:hAnsi="微软雅黑" w:cs="仿宋_GB2312"/>
          <w:color w:val="23272B"/>
          <w:sz w:val="31"/>
          <w:szCs w:val="31"/>
          <w:shd w:val="clear" w:color="auto" w:fill="FFFFFF"/>
        </w:rPr>
        <w:t>后跳转到案件标注页面。</w:t>
      </w:r>
    </w:p>
    <w:p w:rsidR="00566755" w:rsidRDefault="006676B4" w:rsidP="00A0765F">
      <w:pPr>
        <w:pStyle w:val="3"/>
        <w:widowControl/>
        <w:shd w:val="clear" w:color="auto" w:fill="FFFFFF"/>
        <w:spacing w:beforeAutospacing="0" w:afterAutospacing="0"/>
        <w:ind w:firstLineChars="200" w:firstLine="640"/>
        <w:jc w:val="both"/>
        <w:rPr>
          <w:rFonts w:ascii="仿宋_GB2312" w:eastAsia="仿宋_GB2312" w:hAnsi="仿宋_GB2312" w:cs="仿宋_GB2312" w:hint="default"/>
          <w:b w:val="0"/>
          <w:bCs w:val="0"/>
          <w:color w:val="000000"/>
          <w:sz w:val="32"/>
          <w:szCs w:val="32"/>
          <w:shd w:val="clear" w:color="auto" w:fill="FFFFFF"/>
        </w:rPr>
      </w:pPr>
      <w:r>
        <w:rPr>
          <w:rFonts w:ascii="仿宋_GB2312" w:eastAsia="仿宋_GB2312" w:hAnsi="仿宋_GB2312" w:cs="仿宋_GB2312"/>
          <w:b w:val="0"/>
          <w:bCs w:val="0"/>
          <w:color w:val="23272B"/>
          <w:sz w:val="32"/>
          <w:szCs w:val="32"/>
          <w:shd w:val="clear" w:color="auto" w:fill="FFFFFF"/>
        </w:rPr>
        <w:t>3、院庭长</w:t>
      </w:r>
      <w:r>
        <w:rPr>
          <w:rFonts w:ascii="仿宋_GB2312" w:eastAsia="仿宋_GB2312" w:hAnsi="仿宋_GB2312" w:cs="仿宋_GB2312"/>
          <w:b w:val="0"/>
          <w:bCs w:val="0"/>
          <w:color w:val="000000"/>
          <w:sz w:val="32"/>
          <w:szCs w:val="32"/>
          <w:shd w:val="clear" w:color="auto" w:fill="FFFFFF"/>
        </w:rPr>
        <w:t>标注方式</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院庭长发现所分管部门正在办理的案件属于“四类案件”的，应当进行标注。</w:t>
      </w:r>
    </w:p>
    <w:p w:rsidR="00566755" w:rsidRDefault="006676B4">
      <w:pPr>
        <w:pStyle w:val="a4"/>
        <w:widowControl/>
        <w:shd w:val="clear" w:color="auto" w:fill="FFFFFF"/>
        <w:spacing w:beforeAutospacing="0" w:after="300" w:afterAutospacing="0"/>
        <w:ind w:firstLine="645"/>
        <w:jc w:val="both"/>
        <w:rPr>
          <w:rFonts w:ascii="仿宋_GB2312" w:eastAsia="仿宋_GB2312" w:hAnsi="仿宋_GB2312" w:cs="仿宋_GB2312"/>
          <w:color w:val="23272B"/>
          <w:sz w:val="32"/>
          <w:szCs w:val="32"/>
          <w:shd w:val="clear" w:color="auto" w:fill="FFFFFF"/>
        </w:rPr>
      </w:pPr>
      <w:r>
        <w:rPr>
          <w:rFonts w:ascii="仿宋_GB2312" w:eastAsia="仿宋_GB2312" w:hAnsi="仿宋_GB2312" w:cs="仿宋_GB2312" w:hint="eastAsia"/>
          <w:color w:val="000000"/>
          <w:sz w:val="32"/>
          <w:szCs w:val="32"/>
          <w:shd w:val="clear" w:color="auto" w:fill="FFFFFF"/>
        </w:rPr>
        <w:lastRenderedPageBreak/>
        <w:t>标注方法同承办人通过“四类监管”平台标注方法一致（承办人第一种标注方式），点击进入“四类案件”监管系统，</w:t>
      </w:r>
      <w:r>
        <w:rPr>
          <w:rFonts w:ascii="仿宋_GB2312" w:eastAsia="仿宋_GB2312" w:hAnsi="仿宋_GB2312" w:cs="仿宋_GB2312" w:hint="eastAsia"/>
          <w:color w:val="23272B"/>
          <w:sz w:val="32"/>
          <w:szCs w:val="32"/>
          <w:shd w:val="clear" w:color="auto" w:fill="FFFFFF"/>
        </w:rPr>
        <w:t>点击左侧栏目的“案件标注”可以先进行案件检索，然后点击“确认监管”按钮对案件进行提请监管，案件首次提请监管级别为庭长监管。</w:t>
      </w:r>
      <w:r>
        <w:rPr>
          <w:rFonts w:ascii="仿宋_GB2312" w:eastAsia="仿宋_GB2312" w:hAnsi="仿宋_GB2312" w:cs="仿宋_GB2312" w:hint="eastAsia"/>
          <w:color w:val="000000"/>
          <w:sz w:val="32"/>
          <w:szCs w:val="32"/>
          <w:shd w:val="clear" w:color="auto" w:fill="FFFFFF"/>
        </w:rPr>
        <w:t>院长检索范围</w:t>
      </w:r>
      <w:r>
        <w:rPr>
          <w:rFonts w:ascii="仿宋_GB2312" w:eastAsia="仿宋_GB2312" w:hAnsi="仿宋_GB2312" w:cs="仿宋_GB2312" w:hint="eastAsia"/>
          <w:color w:val="23272B"/>
          <w:sz w:val="32"/>
          <w:szCs w:val="32"/>
          <w:shd w:val="clear" w:color="auto" w:fill="FFFFFF"/>
        </w:rPr>
        <w:t>对应本院承办的案件，庭长对应本庭承办的案件。</w:t>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27"/>
          <w:szCs w:val="27"/>
        </w:rPr>
      </w:pPr>
      <w:r>
        <w:rPr>
          <w:rFonts w:ascii="仿宋_GB2312" w:eastAsia="仿宋_GB2312" w:hAnsi="微软雅黑" w:cs="仿宋_GB2312"/>
          <w:color w:val="23272B"/>
          <w:sz w:val="31"/>
          <w:szCs w:val="31"/>
          <w:shd w:val="clear" w:color="auto" w:fill="FFFFFF"/>
        </w:rPr>
        <w:t>。</w:t>
      </w:r>
    </w:p>
    <w:p w:rsidR="00566755" w:rsidRDefault="006676B4">
      <w:pPr>
        <w:pStyle w:val="a4"/>
        <w:widowControl/>
        <w:shd w:val="clear" w:color="auto" w:fill="FFFFFF"/>
        <w:spacing w:beforeAutospacing="0" w:after="300" w:afterAutospacing="0"/>
        <w:ind w:firstLine="645"/>
        <w:rPr>
          <w:rFonts w:ascii="仿宋_GB2312" w:eastAsia="仿宋_GB2312" w:hAnsi="微软雅黑" w:cs="仿宋_GB2312"/>
          <w:color w:val="23272B"/>
          <w:sz w:val="31"/>
          <w:szCs w:val="31"/>
          <w:shd w:val="clear" w:color="auto" w:fill="FFFFFF"/>
        </w:rPr>
      </w:pPr>
      <w:r>
        <w:rPr>
          <w:rFonts w:ascii="微软雅黑" w:eastAsia="微软雅黑" w:hAnsi="微软雅黑" w:cs="微软雅黑" w:hint="eastAsia"/>
          <w:noProof/>
          <w:color w:val="23272B"/>
          <w:sz w:val="27"/>
          <w:szCs w:val="27"/>
        </w:rPr>
        <w:drawing>
          <wp:inline distT="0" distB="0" distL="114300" distR="114300">
            <wp:extent cx="5266690" cy="987425"/>
            <wp:effectExtent l="0" t="0" r="10160" b="3175"/>
            <wp:docPr id="51" name="图片 51" descr="1a92fff9dda34dbdaacc02df1b95f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a92fff9dda34dbdaacc02df1b95fef9"/>
                    <pic:cNvPicPr>
                      <a:picLocks noChangeAspect="1"/>
                    </pic:cNvPicPr>
                  </pic:nvPicPr>
                  <pic:blipFill>
                    <a:blip r:embed="rId18"/>
                    <a:srcRect/>
                    <a:stretch>
                      <a:fillRect/>
                    </a:stretch>
                  </pic:blipFill>
                  <pic:spPr>
                    <a:xfrm>
                      <a:off x="0" y="0"/>
                      <a:ext cx="5266690" cy="987425"/>
                    </a:xfrm>
                    <a:prstGeom prst="rect">
                      <a:avLst/>
                    </a:prstGeom>
                  </pic:spPr>
                </pic:pic>
              </a:graphicData>
            </a:graphic>
          </wp:inline>
        </w:drawing>
      </w:r>
    </w:p>
    <w:p w:rsidR="00566755" w:rsidRDefault="00566755">
      <w:pPr>
        <w:pStyle w:val="a0"/>
        <w:ind w:firstLineChars="200" w:firstLine="480"/>
      </w:pPr>
    </w:p>
    <w:p w:rsidR="00566755" w:rsidRDefault="006676B4" w:rsidP="00A0765F">
      <w:pPr>
        <w:pStyle w:val="a4"/>
        <w:widowControl/>
        <w:numPr>
          <w:ilvl w:val="0"/>
          <w:numId w:val="3"/>
        </w:numPr>
        <w:shd w:val="clear" w:color="auto" w:fill="FFFFFF"/>
        <w:spacing w:beforeAutospacing="0" w:after="300" w:afterAutospacing="0"/>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23272B"/>
          <w:sz w:val="32"/>
          <w:szCs w:val="32"/>
          <w:shd w:val="clear" w:color="auto" w:fill="FFFFFF"/>
        </w:rPr>
        <w:t>纪检、督察、信访等部门</w:t>
      </w:r>
      <w:r>
        <w:rPr>
          <w:rFonts w:ascii="仿宋_GB2312" w:eastAsia="仿宋_GB2312" w:hAnsi="仿宋_GB2312" w:cs="仿宋_GB2312" w:hint="eastAsia"/>
          <w:color w:val="000000"/>
          <w:sz w:val="32"/>
          <w:szCs w:val="32"/>
          <w:shd w:val="clear" w:color="auto" w:fill="FFFFFF"/>
        </w:rPr>
        <w:t>标注方式</w:t>
      </w:r>
    </w:p>
    <w:p w:rsidR="00566755" w:rsidRDefault="006676B4" w:rsidP="00A0765F">
      <w:pPr>
        <w:pStyle w:val="3"/>
        <w:widowControl/>
        <w:shd w:val="clear" w:color="auto" w:fill="FFFFFF"/>
        <w:spacing w:beforeAutospacing="0" w:afterAutospacing="0"/>
        <w:ind w:firstLineChars="200" w:firstLine="640"/>
        <w:jc w:val="both"/>
        <w:rPr>
          <w:rFonts w:ascii="仿宋_GB2312" w:eastAsia="仿宋_GB2312" w:hAnsi="仿宋_GB2312" w:cs="仿宋_GB2312" w:hint="default"/>
          <w:color w:val="23272B"/>
          <w:sz w:val="32"/>
          <w:szCs w:val="32"/>
        </w:rPr>
      </w:pPr>
      <w:r>
        <w:rPr>
          <w:rFonts w:ascii="仿宋_GB2312" w:eastAsia="仿宋_GB2312" w:hAnsi="仿宋_GB2312" w:cs="仿宋_GB2312"/>
          <w:b w:val="0"/>
          <w:bCs w:val="0"/>
          <w:color w:val="23272B"/>
          <w:sz w:val="32"/>
          <w:szCs w:val="32"/>
          <w:shd w:val="clear" w:color="auto" w:fill="FFFFFF"/>
        </w:rPr>
        <w:t>纪检、督察、信访等部门可标记本院及下辖院案件，宣教、代表委员联络等部门可标注权限范围内的案件，标注来源自动显示为纪检、信访、舆情等，默认的监管级别为庭长监管级别。具体标记方法同上院庭长标注方式（即3、院庭长</w:t>
      </w:r>
      <w:r>
        <w:rPr>
          <w:rFonts w:ascii="仿宋_GB2312" w:eastAsia="仿宋_GB2312" w:hAnsi="仿宋_GB2312" w:cs="仿宋_GB2312"/>
          <w:b w:val="0"/>
          <w:bCs w:val="0"/>
          <w:color w:val="000000"/>
          <w:sz w:val="32"/>
          <w:szCs w:val="32"/>
          <w:shd w:val="clear" w:color="auto" w:fill="FFFFFF"/>
        </w:rPr>
        <w:t>通过“四类案件”监管系统标注</w:t>
      </w:r>
      <w:r>
        <w:rPr>
          <w:rFonts w:ascii="仿宋_GB2312" w:eastAsia="仿宋_GB2312" w:hAnsi="仿宋_GB2312" w:cs="仿宋_GB2312"/>
          <w:b w:val="0"/>
          <w:bCs w:val="0"/>
          <w:color w:val="23272B"/>
          <w:sz w:val="32"/>
          <w:szCs w:val="32"/>
          <w:shd w:val="clear" w:color="auto" w:fill="FFFFFF"/>
        </w:rPr>
        <w:t>）。</w:t>
      </w:r>
    </w:p>
    <w:p w:rsidR="00566755" w:rsidRDefault="006676B4" w:rsidP="00A0765F">
      <w:pPr>
        <w:pStyle w:val="3"/>
        <w:widowControl/>
        <w:shd w:val="clear" w:color="auto" w:fill="FFFFFF"/>
        <w:spacing w:beforeAutospacing="0" w:afterAutospacing="0"/>
        <w:ind w:leftChars="200" w:left="420"/>
        <w:jc w:val="both"/>
        <w:rPr>
          <w:rFonts w:ascii="楷体_GB2312" w:eastAsia="楷体_GB2312" w:hAnsi="微软雅黑" w:cs="楷体_GB2312" w:hint="default"/>
          <w:color w:val="23272B"/>
          <w:sz w:val="32"/>
          <w:szCs w:val="32"/>
          <w:shd w:val="clear" w:color="auto" w:fill="FFFFFF"/>
        </w:rPr>
      </w:pPr>
      <w:r>
        <w:rPr>
          <w:rFonts w:ascii="楷体_GB2312" w:eastAsia="楷体_GB2312" w:hAnsi="微软雅黑" w:cs="楷体_GB2312"/>
          <w:color w:val="23272B"/>
          <w:sz w:val="32"/>
          <w:szCs w:val="32"/>
          <w:shd w:val="clear" w:color="auto" w:fill="FFFFFF"/>
        </w:rPr>
        <w:t xml:space="preserve"> （二）被标记案件反馈流程</w:t>
      </w:r>
    </w:p>
    <w:p w:rsidR="00566755" w:rsidRDefault="006676B4">
      <w:pPr>
        <w:pStyle w:val="a0"/>
        <w:ind w:firstLine="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对于被标记为“四类案件”的案件，承办人应当对案件情形在“四类案件”监管平台进行反馈，并将反馈意见提交院庭长审批。院庭长需要在“四类案件”监管平台，在“反馈</w:t>
      </w:r>
      <w:r>
        <w:rPr>
          <w:rFonts w:ascii="仿宋_GB2312" w:eastAsia="仿宋_GB2312" w:hAnsi="仿宋_GB2312" w:cs="仿宋_GB2312" w:hint="eastAsia"/>
          <w:sz w:val="32"/>
          <w:szCs w:val="32"/>
        </w:rPr>
        <w:lastRenderedPageBreak/>
        <w:t>情况确认”中对承办人提交的反馈情况，进行确认。</w:t>
      </w:r>
    </w:p>
    <w:p w:rsidR="00566755" w:rsidRDefault="006676B4" w:rsidP="00A0765F">
      <w:pPr>
        <w:pStyle w:val="a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注：对于承办人反馈监管情况时，监管方式选择了以下监管方式，必须上传附件。</w:t>
      </w:r>
    </w:p>
    <w:tbl>
      <w:tblPr>
        <w:tblW w:w="844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92"/>
        <w:gridCol w:w="2649"/>
      </w:tblGrid>
      <w:tr w:rsidR="00566755">
        <w:tc>
          <w:tcPr>
            <w:tcW w:w="5792" w:type="dxa"/>
            <w:shd w:val="clear" w:color="auto" w:fill="BFBFBF"/>
            <w:vAlign w:val="center"/>
          </w:tcPr>
          <w:p w:rsidR="00566755" w:rsidRDefault="006676B4">
            <w:pPr>
              <w:jc w:val="center"/>
              <w:rPr>
                <w:rFonts w:ascii="宋体" w:hAnsi="宋体"/>
                <w:b/>
                <w:bCs/>
                <w:sz w:val="24"/>
              </w:rPr>
            </w:pPr>
            <w:r>
              <w:rPr>
                <w:b/>
                <w:bCs/>
                <w:color w:val="000000"/>
                <w:szCs w:val="21"/>
              </w:rPr>
              <w:t>监管方式</w:t>
            </w:r>
          </w:p>
        </w:tc>
        <w:tc>
          <w:tcPr>
            <w:tcW w:w="2649" w:type="dxa"/>
            <w:shd w:val="clear" w:color="auto" w:fill="BFBFBF"/>
            <w:vAlign w:val="center"/>
          </w:tcPr>
          <w:p w:rsidR="00566755" w:rsidRDefault="006676B4">
            <w:pPr>
              <w:jc w:val="center"/>
              <w:rPr>
                <w:rFonts w:ascii="宋体" w:hAnsi="宋体"/>
                <w:b/>
                <w:bCs/>
                <w:sz w:val="24"/>
              </w:rPr>
            </w:pPr>
            <w:r>
              <w:rPr>
                <w:rFonts w:ascii="宋体" w:hAnsi="宋体"/>
                <w:b/>
                <w:bCs/>
                <w:sz w:val="24"/>
              </w:rPr>
              <w:t>是否必须上传附件</w:t>
            </w:r>
          </w:p>
        </w:tc>
      </w:tr>
      <w:tr w:rsidR="00566755">
        <w:tc>
          <w:tcPr>
            <w:tcW w:w="5792" w:type="dxa"/>
          </w:tcPr>
          <w:p w:rsidR="00566755" w:rsidRDefault="006676B4">
            <w:pPr>
              <w:tabs>
                <w:tab w:val="left" w:pos="1517"/>
              </w:tabs>
              <w:rPr>
                <w:rFonts w:ascii="宋体" w:hAnsi="宋体"/>
                <w:sz w:val="24"/>
              </w:rPr>
            </w:pPr>
            <w:r>
              <w:rPr>
                <w:rFonts w:ascii="宋体" w:hAnsi="宋体"/>
                <w:color w:val="000000"/>
                <w:szCs w:val="21"/>
              </w:rPr>
              <w:t>按权限调整分案</w:t>
            </w:r>
            <w:r>
              <w:rPr>
                <w:rFonts w:ascii="宋体" w:hAnsi="宋体"/>
                <w:color w:val="000000"/>
                <w:szCs w:val="21"/>
              </w:rPr>
              <w:tab/>
            </w:r>
            <w:r>
              <w:rPr>
                <w:rFonts w:ascii="宋体" w:hAnsi="宋体"/>
                <w:color w:val="000000"/>
                <w:szCs w:val="21"/>
              </w:rPr>
              <w:tab/>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tabs>
                <w:tab w:val="left" w:pos="549"/>
              </w:tabs>
              <w:rPr>
                <w:rFonts w:ascii="宋体" w:hAnsi="宋体"/>
                <w:sz w:val="24"/>
              </w:rPr>
            </w:pPr>
            <w:r>
              <w:rPr>
                <w:rFonts w:ascii="宋体" w:hAnsi="宋体"/>
                <w:color w:val="000000"/>
                <w:szCs w:val="21"/>
              </w:rPr>
              <w:t>要求合议庭报告案件进展、评议结果</w:t>
            </w:r>
            <w:r>
              <w:rPr>
                <w:rFonts w:ascii="宋体" w:hAnsi="宋体"/>
                <w:color w:val="000000"/>
                <w:szCs w:val="21"/>
              </w:rPr>
              <w:tab/>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rFonts w:ascii="宋体" w:hAnsi="宋体"/>
                <w:sz w:val="24"/>
              </w:rPr>
            </w:pPr>
            <w:r>
              <w:rPr>
                <w:rFonts w:ascii="宋体" w:hAnsi="宋体"/>
                <w:color w:val="000000"/>
                <w:szCs w:val="21"/>
              </w:rPr>
              <w:t>要求合议庭提供类案裁判文书或者制作类案检索报告</w:t>
            </w:r>
          </w:p>
        </w:tc>
        <w:tc>
          <w:tcPr>
            <w:tcW w:w="2649" w:type="dxa"/>
          </w:tcPr>
          <w:p w:rsidR="00566755" w:rsidRDefault="006676B4">
            <w:pPr>
              <w:rPr>
                <w:rFonts w:ascii="宋体" w:hAnsi="宋体"/>
                <w:sz w:val="24"/>
              </w:rPr>
            </w:pPr>
            <w:r>
              <w:rPr>
                <w:rFonts w:ascii="宋体" w:hAnsi="宋体"/>
                <w:sz w:val="24"/>
              </w:rPr>
              <w:t>是</w:t>
            </w:r>
          </w:p>
        </w:tc>
      </w:tr>
      <w:tr w:rsidR="00566755">
        <w:tc>
          <w:tcPr>
            <w:tcW w:w="5792" w:type="dxa"/>
          </w:tcPr>
          <w:p w:rsidR="00566755" w:rsidRDefault="006676B4">
            <w:pPr>
              <w:rPr>
                <w:rFonts w:ascii="宋体" w:hAnsi="宋体"/>
                <w:sz w:val="24"/>
              </w:rPr>
            </w:pPr>
            <w:r>
              <w:rPr>
                <w:rFonts w:ascii="宋体" w:hAnsi="宋体"/>
                <w:color w:val="000000"/>
                <w:szCs w:val="21"/>
              </w:rPr>
              <w:t>审阅案件庭审提纲、审理报告</w:t>
            </w:r>
          </w:p>
        </w:tc>
        <w:tc>
          <w:tcPr>
            <w:tcW w:w="2649" w:type="dxa"/>
          </w:tcPr>
          <w:p w:rsidR="00566755" w:rsidRDefault="006676B4">
            <w:pPr>
              <w:rPr>
                <w:rFonts w:ascii="宋体" w:hAnsi="宋体"/>
                <w:sz w:val="24"/>
              </w:rPr>
            </w:pPr>
            <w:r>
              <w:rPr>
                <w:rFonts w:ascii="宋体" w:hAnsi="宋体"/>
                <w:sz w:val="24"/>
              </w:rPr>
              <w:t>是</w:t>
            </w:r>
          </w:p>
        </w:tc>
      </w:tr>
      <w:tr w:rsidR="00566755">
        <w:tc>
          <w:tcPr>
            <w:tcW w:w="5792" w:type="dxa"/>
          </w:tcPr>
          <w:p w:rsidR="00566755" w:rsidRDefault="006676B4">
            <w:pPr>
              <w:rPr>
                <w:rFonts w:ascii="宋体" w:hAnsi="宋体"/>
                <w:sz w:val="24"/>
              </w:rPr>
            </w:pPr>
            <w:r>
              <w:rPr>
                <w:rFonts w:ascii="宋体" w:hAnsi="宋体"/>
                <w:color w:val="000000"/>
                <w:szCs w:val="21"/>
              </w:rPr>
              <w:t>调阅卷宗、旁听庭审</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rFonts w:ascii="宋体" w:hAnsi="宋体"/>
                <w:sz w:val="24"/>
              </w:rPr>
            </w:pPr>
            <w:r>
              <w:rPr>
                <w:rFonts w:ascii="宋体" w:hAnsi="宋体"/>
                <w:color w:val="000000"/>
                <w:szCs w:val="21"/>
              </w:rPr>
              <w:t>要求合议庭复议并报告复议结果 </w:t>
            </w:r>
          </w:p>
        </w:tc>
        <w:tc>
          <w:tcPr>
            <w:tcW w:w="2649" w:type="dxa"/>
          </w:tcPr>
          <w:p w:rsidR="00566755" w:rsidRDefault="006676B4">
            <w:pPr>
              <w:rPr>
                <w:rFonts w:ascii="宋体" w:hAnsi="宋体"/>
                <w:sz w:val="24"/>
              </w:rPr>
            </w:pPr>
            <w:r>
              <w:rPr>
                <w:rFonts w:ascii="宋体" w:hAnsi="宋体"/>
                <w:sz w:val="24"/>
              </w:rPr>
              <w:t>是</w:t>
            </w:r>
          </w:p>
        </w:tc>
      </w:tr>
      <w:tr w:rsidR="00566755">
        <w:tc>
          <w:tcPr>
            <w:tcW w:w="5792" w:type="dxa"/>
          </w:tcPr>
          <w:p w:rsidR="00566755" w:rsidRDefault="006676B4">
            <w:pPr>
              <w:rPr>
                <w:rFonts w:ascii="宋体" w:hAnsi="宋体"/>
                <w:sz w:val="24"/>
              </w:rPr>
            </w:pPr>
            <w:r>
              <w:rPr>
                <w:rFonts w:ascii="宋体" w:hAnsi="宋体"/>
                <w:color w:val="000000"/>
                <w:szCs w:val="21"/>
              </w:rPr>
              <w:t>决定将案件提交专业法官会议讨论</w:t>
            </w:r>
          </w:p>
        </w:tc>
        <w:tc>
          <w:tcPr>
            <w:tcW w:w="2649" w:type="dxa"/>
          </w:tcPr>
          <w:p w:rsidR="00566755" w:rsidRDefault="006676B4">
            <w:pPr>
              <w:rPr>
                <w:rFonts w:ascii="宋体" w:hAnsi="宋体"/>
                <w:sz w:val="24"/>
              </w:rPr>
            </w:pPr>
            <w:r>
              <w:rPr>
                <w:rFonts w:ascii="宋体" w:hAnsi="宋体"/>
                <w:sz w:val="24"/>
              </w:rPr>
              <w:t>是</w:t>
            </w:r>
          </w:p>
        </w:tc>
      </w:tr>
      <w:tr w:rsidR="00566755">
        <w:tc>
          <w:tcPr>
            <w:tcW w:w="5792" w:type="dxa"/>
          </w:tcPr>
          <w:p w:rsidR="00566755" w:rsidRDefault="006676B4">
            <w:pPr>
              <w:rPr>
                <w:rFonts w:ascii="宋体" w:hAnsi="宋体"/>
                <w:sz w:val="24"/>
              </w:rPr>
            </w:pPr>
            <w:r>
              <w:rPr>
                <w:rFonts w:ascii="宋体" w:hAnsi="宋体"/>
                <w:color w:val="000000"/>
                <w:szCs w:val="21"/>
              </w:rPr>
              <w:t>决定按照工作程序将案件提交审判委员会讨论</w:t>
            </w:r>
          </w:p>
        </w:tc>
        <w:tc>
          <w:tcPr>
            <w:tcW w:w="2649" w:type="dxa"/>
          </w:tcPr>
          <w:p w:rsidR="00566755" w:rsidRDefault="006676B4">
            <w:pPr>
              <w:rPr>
                <w:rFonts w:ascii="宋体" w:hAnsi="宋体"/>
                <w:sz w:val="24"/>
              </w:rPr>
            </w:pPr>
            <w:r>
              <w:rPr>
                <w:rFonts w:ascii="宋体" w:hAnsi="宋体"/>
                <w:sz w:val="24"/>
              </w:rPr>
              <w:t>是</w:t>
            </w:r>
          </w:p>
        </w:tc>
      </w:tr>
      <w:tr w:rsidR="00566755">
        <w:tc>
          <w:tcPr>
            <w:tcW w:w="5792" w:type="dxa"/>
          </w:tcPr>
          <w:p w:rsidR="00566755" w:rsidRDefault="006676B4">
            <w:pPr>
              <w:rPr>
                <w:rFonts w:ascii="宋体" w:hAnsi="宋体"/>
                <w:sz w:val="24"/>
              </w:rPr>
            </w:pPr>
            <w:r>
              <w:rPr>
                <w:rFonts w:ascii="宋体" w:hAnsi="宋体"/>
                <w:color w:val="000000"/>
                <w:szCs w:val="21"/>
              </w:rPr>
              <w:t>决定按程序报请上一级人民法院审理</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rFonts w:ascii="宋体" w:hAnsi="宋体"/>
                <w:sz w:val="24"/>
              </w:rPr>
            </w:pPr>
            <w:r>
              <w:rPr>
                <w:rFonts w:ascii="宋体" w:hAnsi="宋体"/>
                <w:color w:val="000000"/>
                <w:szCs w:val="21"/>
              </w:rPr>
              <w:t>其他与其职务相适应的必要监督管理措施</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rFonts w:ascii="宋体" w:hAnsi="宋体"/>
                <w:sz w:val="24"/>
              </w:rPr>
            </w:pPr>
            <w:r>
              <w:rPr>
                <w:rFonts w:ascii="宋体" w:hAnsi="宋体"/>
                <w:color w:val="000000"/>
                <w:szCs w:val="21"/>
              </w:rPr>
              <w:t>合议庭讨论</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rFonts w:ascii="宋体" w:hAnsi="宋体"/>
                <w:sz w:val="24"/>
              </w:rPr>
            </w:pPr>
            <w:r>
              <w:rPr>
                <w:color w:val="000000"/>
                <w:szCs w:val="21"/>
              </w:rPr>
              <w:t>进展情况报告</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rFonts w:ascii="宋体" w:hAnsi="宋体"/>
                <w:sz w:val="24"/>
              </w:rPr>
            </w:pPr>
            <w:r>
              <w:rPr>
                <w:color w:val="000000"/>
                <w:szCs w:val="21"/>
              </w:rPr>
              <w:t>汇报评议结果</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color w:val="000000"/>
                <w:szCs w:val="21"/>
              </w:rPr>
            </w:pPr>
            <w:r>
              <w:rPr>
                <w:color w:val="000000"/>
                <w:szCs w:val="21"/>
              </w:rPr>
              <w:t>查阅卷宗</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color w:val="000000"/>
                <w:szCs w:val="21"/>
              </w:rPr>
            </w:pPr>
            <w:r>
              <w:rPr>
                <w:color w:val="000000"/>
                <w:szCs w:val="21"/>
              </w:rPr>
              <w:t>旁听庭审或者调取庭审视频资料</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color w:val="000000"/>
                <w:szCs w:val="21"/>
              </w:rPr>
            </w:pPr>
            <w:r>
              <w:rPr>
                <w:color w:val="000000"/>
                <w:szCs w:val="21"/>
              </w:rPr>
              <w:t>查看案件流程情况</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color w:val="000000"/>
                <w:szCs w:val="21"/>
              </w:rPr>
            </w:pPr>
            <w:r>
              <w:rPr>
                <w:color w:val="000000"/>
                <w:szCs w:val="21"/>
              </w:rPr>
              <w:t>要求独任制法官或合议庭在指定期限内报告进展和评议结果</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color w:val="000000"/>
                <w:szCs w:val="21"/>
              </w:rPr>
            </w:pPr>
            <w:r>
              <w:rPr>
                <w:color w:val="000000"/>
                <w:szCs w:val="21"/>
              </w:rPr>
              <w:t>要求独任制法官或合议庭在指定期限内提供类案裁判文书或者检索报告</w:t>
            </w:r>
          </w:p>
        </w:tc>
        <w:tc>
          <w:tcPr>
            <w:tcW w:w="2649" w:type="dxa"/>
          </w:tcPr>
          <w:p w:rsidR="00566755" w:rsidRDefault="006676B4">
            <w:pPr>
              <w:rPr>
                <w:rFonts w:ascii="宋体" w:hAnsi="宋体"/>
                <w:sz w:val="24"/>
              </w:rPr>
            </w:pPr>
            <w:r>
              <w:rPr>
                <w:rFonts w:ascii="宋体" w:hAnsi="宋体"/>
                <w:sz w:val="24"/>
              </w:rPr>
              <w:t>是</w:t>
            </w:r>
          </w:p>
        </w:tc>
      </w:tr>
      <w:tr w:rsidR="00566755">
        <w:tc>
          <w:tcPr>
            <w:tcW w:w="5792" w:type="dxa"/>
          </w:tcPr>
          <w:p w:rsidR="00566755" w:rsidRDefault="006676B4">
            <w:pPr>
              <w:rPr>
                <w:color w:val="000000"/>
                <w:szCs w:val="21"/>
              </w:rPr>
            </w:pPr>
            <w:r>
              <w:rPr>
                <w:color w:val="000000"/>
                <w:szCs w:val="21"/>
              </w:rPr>
              <w:t>列席合议庭讨论</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color w:val="000000"/>
                <w:szCs w:val="21"/>
              </w:rPr>
            </w:pPr>
            <w:r>
              <w:rPr>
                <w:color w:val="000000"/>
                <w:szCs w:val="21"/>
              </w:rPr>
              <w:t>要求合议庭复议一次</w:t>
            </w:r>
          </w:p>
        </w:tc>
        <w:tc>
          <w:tcPr>
            <w:tcW w:w="2649" w:type="dxa"/>
          </w:tcPr>
          <w:p w:rsidR="00566755" w:rsidRDefault="006676B4">
            <w:pPr>
              <w:rPr>
                <w:rFonts w:ascii="宋体" w:hAnsi="宋体"/>
                <w:sz w:val="24"/>
              </w:rPr>
            </w:pPr>
            <w:r>
              <w:rPr>
                <w:rFonts w:ascii="宋体" w:hAnsi="宋体"/>
                <w:sz w:val="24"/>
              </w:rPr>
              <w:t>是</w:t>
            </w:r>
          </w:p>
        </w:tc>
      </w:tr>
      <w:tr w:rsidR="00566755">
        <w:tc>
          <w:tcPr>
            <w:tcW w:w="5792" w:type="dxa"/>
          </w:tcPr>
          <w:p w:rsidR="00566755" w:rsidRDefault="006676B4">
            <w:pPr>
              <w:rPr>
                <w:color w:val="000000"/>
                <w:szCs w:val="21"/>
              </w:rPr>
            </w:pPr>
            <w:r>
              <w:rPr>
                <w:color w:val="000000"/>
                <w:szCs w:val="21"/>
              </w:rPr>
              <w:t>提交主审法官会议讨论</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color w:val="000000"/>
                <w:szCs w:val="21"/>
              </w:rPr>
            </w:pPr>
            <w:r>
              <w:rPr>
                <w:color w:val="000000"/>
                <w:szCs w:val="21"/>
              </w:rPr>
              <w:t>提交审判委员会讨论</w:t>
            </w:r>
          </w:p>
        </w:tc>
        <w:tc>
          <w:tcPr>
            <w:tcW w:w="2649" w:type="dxa"/>
          </w:tcPr>
          <w:p w:rsidR="00566755" w:rsidRDefault="006676B4">
            <w:pPr>
              <w:rPr>
                <w:rFonts w:ascii="宋体" w:hAnsi="宋体"/>
                <w:sz w:val="24"/>
              </w:rPr>
            </w:pPr>
            <w:r>
              <w:rPr>
                <w:rFonts w:ascii="宋体" w:hAnsi="宋体"/>
                <w:sz w:val="24"/>
              </w:rPr>
              <w:t>是</w:t>
            </w:r>
          </w:p>
        </w:tc>
      </w:tr>
      <w:tr w:rsidR="00566755">
        <w:tc>
          <w:tcPr>
            <w:tcW w:w="5792" w:type="dxa"/>
          </w:tcPr>
          <w:p w:rsidR="00566755" w:rsidRDefault="006676B4">
            <w:pPr>
              <w:rPr>
                <w:color w:val="000000"/>
                <w:szCs w:val="21"/>
              </w:rPr>
            </w:pPr>
            <w:r>
              <w:rPr>
                <w:color w:val="000000"/>
                <w:szCs w:val="21"/>
              </w:rPr>
              <w:t>院庭长承办或参审</w:t>
            </w:r>
          </w:p>
        </w:tc>
        <w:tc>
          <w:tcPr>
            <w:tcW w:w="2649" w:type="dxa"/>
          </w:tcPr>
          <w:p w:rsidR="00566755" w:rsidRDefault="006676B4">
            <w:pPr>
              <w:rPr>
                <w:rFonts w:ascii="宋体" w:hAnsi="宋体"/>
                <w:sz w:val="24"/>
              </w:rPr>
            </w:pPr>
            <w:r>
              <w:rPr>
                <w:rFonts w:ascii="宋体" w:hAnsi="宋体"/>
                <w:sz w:val="24"/>
              </w:rPr>
              <w:t>否</w:t>
            </w:r>
          </w:p>
        </w:tc>
      </w:tr>
      <w:tr w:rsidR="00566755">
        <w:tc>
          <w:tcPr>
            <w:tcW w:w="5792" w:type="dxa"/>
          </w:tcPr>
          <w:p w:rsidR="00566755" w:rsidRDefault="006676B4">
            <w:pPr>
              <w:rPr>
                <w:color w:val="000000"/>
                <w:szCs w:val="21"/>
              </w:rPr>
            </w:pPr>
            <w:r>
              <w:rPr>
                <w:color w:val="000000"/>
                <w:szCs w:val="21"/>
              </w:rPr>
              <w:t>院庭长直接承办未选择监管方式</w:t>
            </w:r>
          </w:p>
        </w:tc>
        <w:tc>
          <w:tcPr>
            <w:tcW w:w="2649" w:type="dxa"/>
          </w:tcPr>
          <w:p w:rsidR="00566755" w:rsidRDefault="006676B4">
            <w:pPr>
              <w:rPr>
                <w:rFonts w:ascii="宋体" w:hAnsi="宋体"/>
                <w:sz w:val="24"/>
              </w:rPr>
            </w:pPr>
            <w:r>
              <w:rPr>
                <w:rFonts w:ascii="宋体" w:hAnsi="宋体"/>
                <w:sz w:val="24"/>
              </w:rPr>
              <w:t>否</w:t>
            </w:r>
          </w:p>
        </w:tc>
      </w:tr>
    </w:tbl>
    <w:p w:rsidR="00566755" w:rsidRDefault="00566755">
      <w:pPr>
        <w:pStyle w:val="a0"/>
        <w:ind w:firstLine="0"/>
      </w:pPr>
    </w:p>
    <w:p w:rsidR="00566755" w:rsidRDefault="00566755">
      <w:pPr>
        <w:pStyle w:val="a0"/>
        <w:rPr>
          <w:rFonts w:ascii="仿宋_GB2312" w:eastAsia="仿宋_GB2312" w:hAnsi="仿宋_GB2312" w:cs="仿宋_GB2312"/>
          <w:sz w:val="32"/>
          <w:szCs w:val="32"/>
        </w:rPr>
      </w:pPr>
    </w:p>
    <w:p w:rsidR="00566755" w:rsidRDefault="00566755">
      <w:pPr>
        <w:pStyle w:val="a0"/>
        <w:rPr>
          <w:rFonts w:ascii="仿宋_GB2312" w:eastAsia="仿宋_GB2312" w:hAnsi="仿宋_GB2312" w:cs="仿宋_GB2312"/>
          <w:sz w:val="32"/>
          <w:szCs w:val="32"/>
        </w:rPr>
      </w:pPr>
    </w:p>
    <w:p w:rsidR="00566755" w:rsidRDefault="00566755">
      <w:pPr>
        <w:pStyle w:val="a0"/>
        <w:rPr>
          <w:rFonts w:ascii="仿宋_GB2312" w:eastAsia="仿宋_GB2312" w:hAnsi="仿宋_GB2312" w:cs="仿宋_GB2312"/>
          <w:sz w:val="32"/>
          <w:szCs w:val="32"/>
        </w:rPr>
      </w:pPr>
    </w:p>
    <w:p w:rsidR="00566755" w:rsidRDefault="00566755">
      <w:pPr>
        <w:pStyle w:val="a0"/>
        <w:rPr>
          <w:rFonts w:ascii="仿宋_GB2312" w:eastAsia="仿宋_GB2312" w:hAnsi="仿宋_GB2312" w:cs="仿宋_GB2312"/>
          <w:sz w:val="32"/>
          <w:szCs w:val="32"/>
        </w:rPr>
      </w:pPr>
    </w:p>
    <w:p w:rsidR="00566755" w:rsidRDefault="00566755">
      <w:pPr>
        <w:pStyle w:val="a0"/>
        <w:rPr>
          <w:rFonts w:ascii="仿宋_GB2312" w:eastAsia="仿宋_GB2312" w:hAnsi="仿宋_GB2312" w:cs="仿宋_GB2312"/>
          <w:sz w:val="32"/>
          <w:szCs w:val="32"/>
        </w:rPr>
      </w:pPr>
    </w:p>
    <w:p w:rsidR="00566755" w:rsidRDefault="006676B4">
      <w:pPr>
        <w:pStyle w:val="a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标注为“四类案件”后反馈操作流程：</w:t>
      </w:r>
    </w:p>
    <w:p w:rsidR="00566755" w:rsidRDefault="00566755">
      <w:pPr>
        <w:pStyle w:val="a0"/>
        <w:jc w:val="center"/>
        <w:rPr>
          <w:rFonts w:ascii="新宋体" w:eastAsia="新宋体" w:hAnsi="新宋体" w:cs="新宋体"/>
          <w:sz w:val="28"/>
          <w:szCs w:val="28"/>
        </w:rPr>
      </w:pPr>
    </w:p>
    <w:p w:rsidR="00566755" w:rsidRDefault="00566755">
      <w:pPr>
        <w:pStyle w:val="a0"/>
        <w:jc w:val="center"/>
        <w:rPr>
          <w:rFonts w:ascii="新宋体" w:eastAsia="新宋体" w:hAnsi="新宋体" w:cs="新宋体"/>
          <w:sz w:val="28"/>
          <w:szCs w:val="28"/>
        </w:rPr>
      </w:pPr>
    </w:p>
    <w:p w:rsidR="00566755" w:rsidRDefault="006676B4">
      <w:pPr>
        <w:pStyle w:val="a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1.承办人反馈结果确认</w:t>
      </w:r>
    </w:p>
    <w:p w:rsidR="00566755" w:rsidRDefault="006676B4">
      <w:pPr>
        <w:pStyle w:val="a0"/>
      </w:pPr>
      <w:r>
        <w:rPr>
          <w:rFonts w:hint="eastAsia"/>
          <w:noProof/>
        </w:rPr>
        <w:drawing>
          <wp:inline distT="0" distB="0" distL="114300" distR="114300">
            <wp:extent cx="5265420" cy="932815"/>
            <wp:effectExtent l="0" t="0" r="11430" b="635"/>
            <wp:docPr id="1" name="图片 1" descr="4f880a48b95a46fa8efcde9811110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880a48b95a46fa8efcde98111108b1"/>
                    <pic:cNvPicPr>
                      <a:picLocks noChangeAspect="1"/>
                    </pic:cNvPicPr>
                  </pic:nvPicPr>
                  <pic:blipFill>
                    <a:blip r:embed="rId19"/>
                    <a:srcRect/>
                    <a:stretch>
                      <a:fillRect/>
                    </a:stretch>
                  </pic:blipFill>
                  <pic:spPr>
                    <a:xfrm>
                      <a:off x="0" y="0"/>
                      <a:ext cx="5265420" cy="932815"/>
                    </a:xfrm>
                    <a:prstGeom prst="rect">
                      <a:avLst/>
                    </a:prstGeom>
                  </pic:spPr>
                </pic:pic>
              </a:graphicData>
            </a:graphic>
          </wp:inline>
        </w:drawing>
      </w:r>
    </w:p>
    <w:p w:rsidR="00566755" w:rsidRDefault="00566755">
      <w:pPr>
        <w:pStyle w:val="a0"/>
        <w:jc w:val="center"/>
        <w:rPr>
          <w:rFonts w:ascii="仿宋_GB2312" w:eastAsia="仿宋_GB2312" w:hAnsi="仿宋_GB2312" w:cs="仿宋_GB2312"/>
          <w:sz w:val="32"/>
          <w:szCs w:val="32"/>
        </w:rPr>
      </w:pPr>
    </w:p>
    <w:p w:rsidR="00566755" w:rsidRDefault="00566755">
      <w:pPr>
        <w:pStyle w:val="a0"/>
        <w:jc w:val="center"/>
        <w:rPr>
          <w:rFonts w:ascii="仿宋_GB2312" w:eastAsia="仿宋_GB2312" w:hAnsi="仿宋_GB2312" w:cs="仿宋_GB2312"/>
          <w:sz w:val="32"/>
          <w:szCs w:val="32"/>
        </w:rPr>
      </w:pPr>
    </w:p>
    <w:p w:rsidR="00566755" w:rsidRDefault="00566755">
      <w:pPr>
        <w:pStyle w:val="a0"/>
        <w:jc w:val="center"/>
        <w:rPr>
          <w:rFonts w:ascii="仿宋_GB2312" w:eastAsia="仿宋_GB2312" w:hAnsi="仿宋_GB2312" w:cs="仿宋_GB2312"/>
          <w:sz w:val="32"/>
          <w:szCs w:val="32"/>
        </w:rPr>
      </w:pPr>
    </w:p>
    <w:p w:rsidR="00566755" w:rsidRDefault="00566755">
      <w:pPr>
        <w:pStyle w:val="a0"/>
        <w:jc w:val="center"/>
        <w:rPr>
          <w:rFonts w:ascii="仿宋_GB2312" w:eastAsia="仿宋_GB2312" w:hAnsi="仿宋_GB2312" w:cs="仿宋_GB2312"/>
          <w:sz w:val="32"/>
          <w:szCs w:val="32"/>
        </w:rPr>
      </w:pPr>
    </w:p>
    <w:p w:rsidR="00566755" w:rsidRDefault="006676B4">
      <w:pPr>
        <w:pStyle w:val="a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2.点击“反馈监管情况”进行反馈</w:t>
      </w:r>
    </w:p>
    <w:p w:rsidR="00566755" w:rsidRDefault="006676B4">
      <w:pPr>
        <w:pStyle w:val="a0"/>
      </w:pPr>
      <w:r>
        <w:rPr>
          <w:rFonts w:hint="eastAsia"/>
          <w:noProof/>
        </w:rPr>
        <w:drawing>
          <wp:inline distT="0" distB="0" distL="114300" distR="114300">
            <wp:extent cx="5264785" cy="3909695"/>
            <wp:effectExtent l="0" t="0" r="12065" b="14605"/>
            <wp:docPr id="2" name="图片 2" descr="f31108701b494e929e65d66443f5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31108701b494e929e65d66443f537c0"/>
                    <pic:cNvPicPr>
                      <a:picLocks noChangeAspect="1"/>
                    </pic:cNvPicPr>
                  </pic:nvPicPr>
                  <pic:blipFill>
                    <a:blip r:embed="rId20"/>
                    <a:srcRect/>
                    <a:stretch>
                      <a:fillRect/>
                    </a:stretch>
                  </pic:blipFill>
                  <pic:spPr>
                    <a:xfrm>
                      <a:off x="0" y="0"/>
                      <a:ext cx="5264785" cy="3909695"/>
                    </a:xfrm>
                    <a:prstGeom prst="rect">
                      <a:avLst/>
                    </a:prstGeom>
                  </pic:spPr>
                </pic:pic>
              </a:graphicData>
            </a:graphic>
          </wp:inline>
        </w:drawing>
      </w:r>
    </w:p>
    <w:p w:rsidR="00566755" w:rsidRDefault="006676B4">
      <w:pPr>
        <w:pStyle w:val="a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填写反馈，提交即可</w:t>
      </w:r>
    </w:p>
    <w:p w:rsidR="00566755" w:rsidRDefault="00566755">
      <w:pPr>
        <w:pStyle w:val="a0"/>
      </w:pPr>
    </w:p>
    <w:p w:rsidR="00566755" w:rsidRDefault="006676B4">
      <w:pPr>
        <w:pStyle w:val="4"/>
        <w:numPr>
          <w:ilvl w:val="3"/>
          <w:numId w:val="0"/>
        </w:numPr>
        <w:jc w:val="center"/>
        <w:rPr>
          <w:rFonts w:ascii="仿宋_GB2312" w:eastAsia="仿宋_GB2312" w:hAnsi="仿宋_GB2312" w:cs="仿宋_GB2312"/>
          <w:b w:val="0"/>
          <w:bCs/>
          <w:sz w:val="32"/>
          <w:szCs w:val="32"/>
        </w:rPr>
      </w:pPr>
      <w:r>
        <w:rPr>
          <w:rFonts w:ascii="仿宋_GB2312" w:eastAsia="仿宋_GB2312" w:hAnsi="仿宋_GB2312" w:cs="仿宋_GB2312" w:hint="eastAsia"/>
          <w:b w:val="0"/>
          <w:bCs/>
          <w:sz w:val="32"/>
          <w:szCs w:val="32"/>
        </w:rPr>
        <w:t>3、庭长院长进行反馈确认</w:t>
      </w:r>
    </w:p>
    <w:p w:rsidR="00566755" w:rsidRDefault="006676B4">
      <w:pPr>
        <w:pStyle w:val="4"/>
        <w:numPr>
          <w:ilvl w:val="3"/>
          <w:numId w:val="0"/>
        </w:numPr>
      </w:pPr>
      <w:r>
        <w:rPr>
          <w:noProof/>
        </w:rPr>
        <w:drawing>
          <wp:inline distT="0" distB="0" distL="0" distR="0">
            <wp:extent cx="5542280" cy="2769235"/>
            <wp:effectExtent l="0" t="0" r="1270" b="12065"/>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21"/>
                    <a:srcRect/>
                    <a:stretch>
                      <a:fillRect/>
                    </a:stretch>
                  </pic:blipFill>
                  <pic:spPr>
                    <a:xfrm>
                      <a:off x="0" y="0"/>
                      <a:ext cx="5542902" cy="2769742"/>
                    </a:xfrm>
                    <a:prstGeom prst="rect">
                      <a:avLst/>
                    </a:prstGeom>
                    <a:noFill/>
                    <a:ln>
                      <a:noFill/>
                    </a:ln>
                  </pic:spPr>
                </pic:pic>
              </a:graphicData>
            </a:graphic>
          </wp:inline>
        </w:drawing>
      </w:r>
    </w:p>
    <w:p w:rsidR="00566755" w:rsidRDefault="006676B4">
      <w:pPr>
        <w:pStyle w:val="a0"/>
        <w:ind w:firstLine="0"/>
        <w:jc w:val="center"/>
      </w:pPr>
      <w:r>
        <w:t>图</w:t>
      </w:r>
      <w:r>
        <w:t xml:space="preserve"> </w:t>
      </w:r>
      <w:r>
        <w:t>反馈情况确认</w:t>
      </w:r>
      <w:r>
        <w:t>-</w:t>
      </w:r>
      <w:r>
        <w:t>待确认</w:t>
      </w:r>
    </w:p>
    <w:p w:rsidR="00566755" w:rsidRDefault="006676B4">
      <w:pPr>
        <w:pStyle w:val="a0"/>
        <w:ind w:firstLine="0"/>
        <w:jc w:val="center"/>
      </w:pPr>
      <w:r>
        <w:rPr>
          <w:noProof/>
        </w:rPr>
        <w:drawing>
          <wp:inline distT="0" distB="0" distL="0" distR="0">
            <wp:extent cx="5542280" cy="2769235"/>
            <wp:effectExtent l="0" t="0" r="1270" b="1206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22"/>
                    <a:srcRect/>
                    <a:stretch>
                      <a:fillRect/>
                    </a:stretch>
                  </pic:blipFill>
                  <pic:spPr>
                    <a:xfrm>
                      <a:off x="0" y="0"/>
                      <a:ext cx="5542902" cy="2769742"/>
                    </a:xfrm>
                    <a:prstGeom prst="rect">
                      <a:avLst/>
                    </a:prstGeom>
                    <a:noFill/>
                    <a:ln>
                      <a:noFill/>
                    </a:ln>
                  </pic:spPr>
                </pic:pic>
              </a:graphicData>
            </a:graphic>
          </wp:inline>
        </w:drawing>
      </w:r>
    </w:p>
    <w:p w:rsidR="00566755" w:rsidRDefault="006676B4">
      <w:pPr>
        <w:pStyle w:val="a0"/>
        <w:ind w:firstLine="0"/>
        <w:jc w:val="center"/>
      </w:pPr>
      <w:r>
        <w:t>图</w:t>
      </w:r>
      <w:r>
        <w:t xml:space="preserve"> </w:t>
      </w:r>
      <w:r>
        <w:t>反馈情况确认</w:t>
      </w:r>
      <w:r>
        <w:t>-</w:t>
      </w:r>
      <w:r>
        <w:t>已确认</w:t>
      </w:r>
    </w:p>
    <w:p w:rsidR="00566755" w:rsidRDefault="006676B4">
      <w:pPr>
        <w:pStyle w:val="a0"/>
        <w:ind w:firstLine="0"/>
      </w:pPr>
      <w:r>
        <w:rPr>
          <w:noProof/>
        </w:rPr>
        <w:lastRenderedPageBreak/>
        <w:drawing>
          <wp:inline distT="0" distB="0" distL="0" distR="0">
            <wp:extent cx="5524500" cy="2749550"/>
            <wp:effectExtent l="0" t="0" r="0" b="1270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rcRect/>
                    <a:stretch>
                      <a:fillRect/>
                    </a:stretch>
                  </pic:blipFill>
                  <pic:spPr>
                    <a:xfrm>
                      <a:off x="0" y="0"/>
                      <a:ext cx="5524862" cy="2749656"/>
                    </a:xfrm>
                    <a:prstGeom prst="rect">
                      <a:avLst/>
                    </a:prstGeom>
                  </pic:spPr>
                </pic:pic>
              </a:graphicData>
            </a:graphic>
          </wp:inline>
        </w:drawing>
      </w:r>
    </w:p>
    <w:p w:rsidR="00566755" w:rsidRDefault="006676B4">
      <w:pPr>
        <w:pStyle w:val="a0"/>
        <w:ind w:firstLine="0"/>
        <w:jc w:val="center"/>
      </w:pPr>
      <w:r>
        <w:t>图</w:t>
      </w:r>
      <w:r>
        <w:t xml:space="preserve"> </w:t>
      </w:r>
      <w:r>
        <w:t>反馈情况确认</w:t>
      </w:r>
    </w:p>
    <w:p w:rsidR="00566755" w:rsidRDefault="006676B4">
      <w:pPr>
        <w:pStyle w:val="a0"/>
        <w:ind w:firstLine="0"/>
        <w:jc w:val="center"/>
      </w:pPr>
      <w:r>
        <w:rPr>
          <w:noProof/>
        </w:rPr>
        <w:drawing>
          <wp:inline distT="0" distB="0" distL="0" distR="0">
            <wp:extent cx="5549265" cy="2750185"/>
            <wp:effectExtent l="0" t="0" r="13335" b="12065"/>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4"/>
                    <a:srcRect/>
                    <a:stretch>
                      <a:fillRect/>
                    </a:stretch>
                  </pic:blipFill>
                  <pic:spPr>
                    <a:xfrm>
                      <a:off x="0" y="0"/>
                      <a:ext cx="5549315" cy="2750476"/>
                    </a:xfrm>
                    <a:prstGeom prst="rect">
                      <a:avLst/>
                    </a:prstGeom>
                    <a:noFill/>
                    <a:ln>
                      <a:noFill/>
                      <a:round/>
                    </a:ln>
                  </pic:spPr>
                </pic:pic>
              </a:graphicData>
            </a:graphic>
          </wp:inline>
        </w:drawing>
      </w:r>
    </w:p>
    <w:p w:rsidR="00566755" w:rsidRDefault="006676B4">
      <w:pPr>
        <w:pStyle w:val="a0"/>
        <w:ind w:firstLine="0"/>
        <w:jc w:val="center"/>
      </w:pPr>
      <w:r>
        <w:t>图</w:t>
      </w:r>
      <w:r>
        <w:t xml:space="preserve"> </w:t>
      </w:r>
      <w:r>
        <w:t>批量确认</w:t>
      </w:r>
    </w:p>
    <w:p w:rsidR="00566755" w:rsidRDefault="006676B4">
      <w:pPr>
        <w:pStyle w:val="a0"/>
        <w:ind w:firstLine="0"/>
      </w:pPr>
      <w:r>
        <w:rPr>
          <w:noProof/>
        </w:rPr>
        <w:drawing>
          <wp:inline distT="0" distB="0" distL="0" distR="0">
            <wp:extent cx="5426075" cy="2701925"/>
            <wp:effectExtent l="0" t="0" r="3175"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rcRect/>
                    <a:stretch>
                      <a:fillRect/>
                    </a:stretch>
                  </pic:blipFill>
                  <pic:spPr>
                    <a:xfrm>
                      <a:off x="0" y="0"/>
                      <a:ext cx="5426581" cy="2702267"/>
                    </a:xfrm>
                    <a:prstGeom prst="rect">
                      <a:avLst/>
                    </a:prstGeom>
                  </pic:spPr>
                </pic:pic>
              </a:graphicData>
            </a:graphic>
          </wp:inline>
        </w:drawing>
      </w:r>
    </w:p>
    <w:p w:rsidR="00566755" w:rsidRDefault="006676B4">
      <w:pPr>
        <w:pStyle w:val="a0"/>
        <w:ind w:firstLine="0"/>
        <w:jc w:val="center"/>
      </w:pPr>
      <w:r>
        <w:lastRenderedPageBreak/>
        <w:t>图</w:t>
      </w:r>
      <w:r>
        <w:t xml:space="preserve"> </w:t>
      </w:r>
      <w:r>
        <w:t>反馈情况确认详情</w:t>
      </w:r>
    </w:p>
    <w:p w:rsidR="00566755" w:rsidRDefault="006676B4">
      <w:pPr>
        <w:pStyle w:val="a0"/>
        <w:ind w:firstLine="0"/>
      </w:pPr>
      <w:r>
        <w:rPr>
          <w:noProof/>
        </w:rPr>
        <w:drawing>
          <wp:inline distT="0" distB="0" distL="0" distR="0">
            <wp:extent cx="5681345" cy="2854960"/>
            <wp:effectExtent l="0" t="0" r="14605"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rcRect/>
                    <a:stretch>
                      <a:fillRect/>
                    </a:stretch>
                  </pic:blipFill>
                  <pic:spPr>
                    <a:xfrm>
                      <a:off x="0" y="0"/>
                      <a:ext cx="5681344" cy="2855562"/>
                    </a:xfrm>
                    <a:prstGeom prst="rect">
                      <a:avLst/>
                    </a:prstGeom>
                  </pic:spPr>
                </pic:pic>
              </a:graphicData>
            </a:graphic>
          </wp:inline>
        </w:drawing>
      </w:r>
    </w:p>
    <w:p w:rsidR="00566755" w:rsidRDefault="006676B4">
      <w:pPr>
        <w:pStyle w:val="a0"/>
        <w:ind w:firstLine="0"/>
        <w:jc w:val="center"/>
      </w:pPr>
      <w:r>
        <w:t>图</w:t>
      </w:r>
      <w:r>
        <w:t xml:space="preserve"> </w:t>
      </w:r>
      <w:r>
        <w:t>反馈监管情况</w:t>
      </w:r>
    </w:p>
    <w:p w:rsidR="00566755" w:rsidRDefault="00566755">
      <w:pPr>
        <w:pStyle w:val="a0"/>
      </w:pPr>
    </w:p>
    <w:p w:rsidR="00566755" w:rsidRDefault="006676B4">
      <w:pPr>
        <w:pStyle w:val="a0"/>
        <w:rPr>
          <w:rFonts w:ascii="仿宋_GB2312" w:eastAsia="仿宋_GB2312" w:hAnsi="微软雅黑" w:cs="仿宋_GB2312"/>
          <w:color w:val="000000"/>
          <w:sz w:val="32"/>
          <w:szCs w:val="32"/>
          <w:shd w:val="clear" w:color="auto" w:fill="FFFFFF"/>
        </w:rPr>
      </w:pPr>
      <w:r>
        <w:rPr>
          <w:rFonts w:ascii="仿宋_GB2312" w:eastAsia="仿宋_GB2312" w:hAnsi="仿宋_GB2312" w:cs="仿宋_GB2312" w:hint="eastAsia"/>
          <w:sz w:val="32"/>
          <w:szCs w:val="32"/>
        </w:rPr>
        <w:t>监管情况反馈，监管领导确认反馈结果时，确认结果中增加两个信息项：已阅（审批意见非必填）、退回（审批意见必填）。</w:t>
      </w:r>
    </w:p>
    <w:p w:rsidR="00566755" w:rsidRDefault="006676B4">
      <w:pPr>
        <w:pStyle w:val="1"/>
        <w:widowControl/>
        <w:shd w:val="clear" w:color="auto" w:fill="FFFFFF"/>
        <w:spacing w:beforeAutospacing="0" w:afterAutospacing="0"/>
        <w:ind w:firstLine="645"/>
        <w:jc w:val="both"/>
        <w:rPr>
          <w:rFonts w:ascii="楷体_GB2312" w:eastAsia="楷体_GB2312" w:hAnsi="微软雅黑" w:cs="楷体_GB2312" w:hint="default"/>
          <w:color w:val="23272B"/>
          <w:kern w:val="0"/>
          <w:sz w:val="32"/>
          <w:szCs w:val="32"/>
          <w:shd w:val="clear" w:color="auto" w:fill="FFFFFF"/>
        </w:rPr>
      </w:pPr>
      <w:r>
        <w:rPr>
          <w:rFonts w:ascii="楷体_GB2312" w:eastAsia="楷体_GB2312" w:hAnsi="微软雅黑" w:cs="楷体_GB2312"/>
          <w:color w:val="23272B"/>
          <w:kern w:val="0"/>
          <w:sz w:val="32"/>
          <w:szCs w:val="32"/>
          <w:shd w:val="clear" w:color="auto" w:fill="FFFFFF"/>
        </w:rPr>
        <w:t>（三）撤销标注</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案件进行标注后，在“案件监管系统”中承办法官可申请撤销标注，填写撤销原因（最多50字），提交庭长进行审批。</w:t>
      </w:r>
    </w:p>
    <w:p w:rsidR="00566755" w:rsidRDefault="006676B4">
      <w:pPr>
        <w:pStyle w:val="a4"/>
        <w:widowControl/>
        <w:shd w:val="clear" w:color="auto" w:fill="FFFFFF"/>
        <w:spacing w:beforeAutospacing="0" w:after="300" w:afterAutospacing="0"/>
        <w:jc w:val="center"/>
        <w:rPr>
          <w:rFonts w:ascii="仿宋_GB2312" w:eastAsia="仿宋_GB2312" w:hAnsi="仿宋_GB2312" w:cs="仿宋_GB2312"/>
          <w:color w:val="23272B"/>
          <w:sz w:val="32"/>
          <w:szCs w:val="32"/>
        </w:rPr>
      </w:pPr>
      <w:r>
        <w:rPr>
          <w:rFonts w:ascii="仿宋_GB2312" w:eastAsia="仿宋_GB2312" w:hAnsi="仿宋_GB2312" w:cs="仿宋_GB2312" w:hint="eastAsia"/>
          <w:noProof/>
          <w:color w:val="23272B"/>
          <w:sz w:val="32"/>
          <w:szCs w:val="32"/>
        </w:rPr>
        <w:drawing>
          <wp:inline distT="0" distB="0" distL="114300" distR="114300">
            <wp:extent cx="5274310" cy="2115185"/>
            <wp:effectExtent l="0" t="0" r="2540" b="18415"/>
            <wp:docPr id="52" name="图片 52" descr="7bac506e934841eb9aca3db8d3fe6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bac506e934841eb9aca3db8d3fe62c9"/>
                    <pic:cNvPicPr>
                      <a:picLocks noChangeAspect="1"/>
                    </pic:cNvPicPr>
                  </pic:nvPicPr>
                  <pic:blipFill>
                    <a:blip r:embed="rId27"/>
                    <a:srcRect/>
                    <a:stretch>
                      <a:fillRect/>
                    </a:stretch>
                  </pic:blipFill>
                  <pic:spPr>
                    <a:xfrm>
                      <a:off x="0" y="0"/>
                      <a:ext cx="5274310" cy="2115185"/>
                    </a:xfrm>
                    <a:prstGeom prst="rect">
                      <a:avLst/>
                    </a:prstGeom>
                  </pic:spPr>
                </pic:pic>
              </a:graphicData>
            </a:graphic>
          </wp:inline>
        </w:drawing>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lastRenderedPageBreak/>
        <w:t>立案、纪检、信访、宣教、代表委员联络等部门有关人员对案件进行标注后，可在反馈监管情况—待反馈/已反馈列表中对个人提请监管还未结案的案件，申请撤销标注，提交给庭长进行审批。</w:t>
      </w:r>
    </w:p>
    <w:p w:rsidR="00566755" w:rsidRDefault="006676B4">
      <w:pPr>
        <w:pStyle w:val="a4"/>
        <w:widowControl/>
        <w:shd w:val="clear" w:color="auto" w:fill="FFFFFF"/>
        <w:spacing w:beforeAutospacing="0" w:after="300" w:afterAutospacing="0"/>
        <w:rPr>
          <w:rFonts w:ascii="微软雅黑" w:eastAsia="微软雅黑" w:hAnsi="微软雅黑" w:cs="微软雅黑"/>
          <w:color w:val="23272B"/>
          <w:sz w:val="27"/>
          <w:szCs w:val="27"/>
        </w:rPr>
      </w:pPr>
      <w:r>
        <w:rPr>
          <w:rFonts w:ascii="微软雅黑" w:eastAsia="微软雅黑" w:hAnsi="微软雅黑" w:cs="微软雅黑" w:hint="eastAsia"/>
          <w:noProof/>
          <w:color w:val="23272B"/>
          <w:sz w:val="27"/>
          <w:szCs w:val="27"/>
        </w:rPr>
        <w:drawing>
          <wp:inline distT="0" distB="0" distL="114300" distR="114300">
            <wp:extent cx="5272405" cy="1961515"/>
            <wp:effectExtent l="0" t="0" r="4445" b="635"/>
            <wp:docPr id="53" name="图片 53" descr="c9cae31235f84a0fac43d8bbfc68f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9cae31235f84a0fac43d8bbfc68fd8c"/>
                    <pic:cNvPicPr>
                      <a:picLocks noChangeAspect="1"/>
                    </pic:cNvPicPr>
                  </pic:nvPicPr>
                  <pic:blipFill>
                    <a:blip r:embed="rId28"/>
                    <a:srcRect/>
                    <a:stretch>
                      <a:fillRect/>
                    </a:stretch>
                  </pic:blipFill>
                  <pic:spPr>
                    <a:xfrm>
                      <a:off x="0" y="0"/>
                      <a:ext cx="5272405" cy="1961515"/>
                    </a:xfrm>
                    <a:prstGeom prst="rect">
                      <a:avLst/>
                    </a:prstGeom>
                  </pic:spPr>
                </pic:pic>
              </a:graphicData>
            </a:graphic>
          </wp:inline>
        </w:drawing>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如果案件的监管领导是庭长，庭长自行撤销标注的，只需填写撤销原因即可，无需审批。</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 如果案件的监管领导是分管院领导，承办法官申请撤销标注时，庭长审批之后提交给分管院领导进行审批；庭长申请撤销标注，直接提交给分管院领导进行审批；分管院领导自行撤销标注，只需填写撤销原因即可，无需审批。</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如果案件的监管领导是院长，承办法官申请撤销标注，庭长审批之后提交给分管院领导进行审批，分管院领导审批之后提交给院长进行审批。院长自行撤销标注，只需填写撤销原因即可。</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lastRenderedPageBreak/>
        <w:t>对需要审批的撤销标注申请，庭长、分管院领导、院长可在“审批中心-待审批-撤销标注审批”进行审批。</w:t>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27"/>
          <w:szCs w:val="27"/>
        </w:rPr>
      </w:pPr>
      <w:r>
        <w:rPr>
          <w:rFonts w:ascii="仿宋" w:eastAsia="仿宋" w:hAnsi="仿宋" w:cs="仿宋" w:hint="eastAsia"/>
          <w:color w:val="23272B"/>
          <w:sz w:val="31"/>
          <w:szCs w:val="31"/>
          <w:shd w:val="clear" w:color="auto" w:fill="FFFFFF"/>
        </w:rPr>
        <w:t> </w:t>
      </w:r>
    </w:p>
    <w:p w:rsidR="00566755" w:rsidRDefault="006676B4">
      <w:pPr>
        <w:pStyle w:val="a0"/>
        <w:rPr>
          <w:rFonts w:ascii="仿宋_GB2312" w:eastAsia="仿宋_GB2312" w:hAnsi="微软雅黑" w:cs="仿宋_GB2312"/>
          <w:color w:val="000000"/>
          <w:sz w:val="31"/>
          <w:szCs w:val="31"/>
          <w:shd w:val="clear" w:color="auto" w:fill="FFFFFF"/>
        </w:rPr>
      </w:pPr>
      <w:r>
        <w:rPr>
          <w:rFonts w:ascii="微软雅黑" w:eastAsia="微软雅黑" w:hAnsi="微软雅黑" w:cs="微软雅黑" w:hint="eastAsia"/>
          <w:noProof/>
          <w:color w:val="23272B"/>
          <w:sz w:val="27"/>
          <w:szCs w:val="27"/>
        </w:rPr>
        <w:drawing>
          <wp:inline distT="0" distB="0" distL="114300" distR="114300">
            <wp:extent cx="5272405" cy="4375150"/>
            <wp:effectExtent l="0" t="0" r="4445" b="6350"/>
            <wp:docPr id="54" name="图片 54" descr="2fd82a90e3e94d21aa584decf928d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fd82a90e3e94d21aa584decf928dbcf"/>
                    <pic:cNvPicPr>
                      <a:picLocks noChangeAspect="1"/>
                    </pic:cNvPicPr>
                  </pic:nvPicPr>
                  <pic:blipFill>
                    <a:blip r:embed="rId29"/>
                    <a:srcRect/>
                    <a:stretch>
                      <a:fillRect/>
                    </a:stretch>
                  </pic:blipFill>
                  <pic:spPr>
                    <a:xfrm>
                      <a:off x="0" y="0"/>
                      <a:ext cx="5272405" cy="4375150"/>
                    </a:xfrm>
                    <a:prstGeom prst="rect">
                      <a:avLst/>
                    </a:prstGeom>
                  </pic:spPr>
                </pic:pic>
              </a:graphicData>
            </a:graphic>
          </wp:inline>
        </w:drawing>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32"/>
          <w:szCs w:val="32"/>
        </w:rPr>
      </w:pPr>
      <w:r>
        <w:rPr>
          <w:rFonts w:ascii="黑体" w:eastAsia="黑体" w:hAnsi="宋体" w:cs="黑体" w:hint="eastAsia"/>
          <w:color w:val="23272B"/>
          <w:sz w:val="32"/>
          <w:szCs w:val="32"/>
          <w:shd w:val="clear" w:color="auto" w:fill="FFFFFF"/>
        </w:rPr>
        <w:t>五、责任承担</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“四类案件”的标注应当严格依照最高法院、省法院的规定执行。标注顺序一般为立案庭、法官、庭长、分管院领导、院长。院庭长先于法官标注的，应当明确原因并留痕。</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应当标注而没有标注，造成重大影响的，依照有关程序问责。</w:t>
      </w:r>
    </w:p>
    <w:p w:rsidR="00566755" w:rsidRDefault="006676B4">
      <w:pPr>
        <w:pStyle w:val="a4"/>
        <w:widowControl/>
        <w:shd w:val="clear" w:color="auto" w:fill="FFFFFF"/>
        <w:spacing w:beforeAutospacing="0" w:after="300" w:afterAutospacing="0"/>
        <w:ind w:firstLine="645"/>
        <w:rPr>
          <w:rFonts w:ascii="微软雅黑" w:eastAsia="微软雅黑" w:hAnsi="微软雅黑" w:cs="微软雅黑"/>
          <w:color w:val="23272B"/>
          <w:sz w:val="32"/>
          <w:szCs w:val="32"/>
        </w:rPr>
      </w:pPr>
      <w:r>
        <w:rPr>
          <w:rFonts w:ascii="黑体" w:eastAsia="黑体" w:hAnsi="宋体" w:cs="黑体" w:hint="eastAsia"/>
          <w:color w:val="23272B"/>
          <w:sz w:val="32"/>
          <w:szCs w:val="32"/>
          <w:shd w:val="clear" w:color="auto" w:fill="FFFFFF"/>
        </w:rPr>
        <w:lastRenderedPageBreak/>
        <w:t>六、其他</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案件标注后的监管流程，参见《重大敏感案件管理系统简版用户手册》。</w:t>
      </w:r>
    </w:p>
    <w:p w:rsidR="00566755" w:rsidRDefault="006676B4">
      <w:pPr>
        <w:pStyle w:val="a4"/>
        <w:widowControl/>
        <w:shd w:val="clear" w:color="auto" w:fill="FFFFFF"/>
        <w:spacing w:beforeAutospacing="0" w:after="300" w:afterAutospacing="0"/>
        <w:ind w:firstLine="645"/>
        <w:rPr>
          <w:rFonts w:ascii="仿宋_GB2312" w:eastAsia="仿宋_GB2312" w:hAnsi="仿宋_GB2312" w:cs="仿宋_GB2312"/>
          <w:color w:val="23272B"/>
          <w:sz w:val="32"/>
          <w:szCs w:val="32"/>
        </w:rPr>
      </w:pPr>
      <w:r>
        <w:rPr>
          <w:rFonts w:ascii="仿宋_GB2312" w:eastAsia="仿宋_GB2312" w:hAnsi="仿宋_GB2312" w:cs="仿宋_GB2312" w:hint="eastAsia"/>
          <w:color w:val="23272B"/>
          <w:sz w:val="32"/>
          <w:szCs w:val="32"/>
          <w:shd w:val="clear" w:color="auto" w:fill="FFFFFF"/>
        </w:rPr>
        <w:t>相关监管平台技术规则发生变更的，依据变更后的规则执行。 </w:t>
      </w:r>
    </w:p>
    <w:p w:rsidR="00566755" w:rsidRDefault="00566755"/>
    <w:p w:rsidR="00566755" w:rsidRDefault="006676B4">
      <w:pPr>
        <w:spacing w:line="600" w:lineRule="exact"/>
        <w:ind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南阳市卧龙区人民法院</w:t>
      </w:r>
    </w:p>
    <w:p w:rsidR="00566755" w:rsidRDefault="006676B4">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2022年</w:t>
      </w:r>
      <w:r w:rsidR="00A0765F">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月17</w:t>
      </w:r>
      <w:bookmarkStart w:id="0" w:name="_GoBack"/>
      <w:bookmarkEnd w:id="0"/>
      <w:r>
        <w:rPr>
          <w:rFonts w:ascii="仿宋_GB2312" w:eastAsia="仿宋_GB2312" w:hAnsi="仿宋_GB2312" w:cs="仿宋_GB2312" w:hint="eastAsia"/>
          <w:sz w:val="32"/>
          <w:szCs w:val="32"/>
        </w:rPr>
        <w:t xml:space="preserve">日 </w:t>
      </w:r>
    </w:p>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p w:rsidR="00566755" w:rsidRDefault="00566755"/>
    <w:sectPr w:rsidR="00566755" w:rsidSect="00566755">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1F0" w:rsidRDefault="009C11F0" w:rsidP="00A0765F">
      <w:r>
        <w:separator/>
      </w:r>
    </w:p>
  </w:endnote>
  <w:endnote w:type="continuationSeparator" w:id="1">
    <w:p w:rsidR="009C11F0" w:rsidRDefault="009C11F0" w:rsidP="00A076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798365"/>
      <w:docPartObj>
        <w:docPartGallery w:val="Page Numbers (Bottom of Page)"/>
        <w:docPartUnique/>
      </w:docPartObj>
    </w:sdtPr>
    <w:sdtContent>
      <w:p w:rsidR="00A0765F" w:rsidRDefault="008A0FA4">
        <w:pPr>
          <w:pStyle w:val="a8"/>
          <w:jc w:val="center"/>
        </w:pPr>
        <w:fldSimple w:instr=" PAGE   \* MERGEFORMAT ">
          <w:r w:rsidR="000D37C4" w:rsidRPr="000D37C4">
            <w:rPr>
              <w:noProof/>
              <w:lang w:val="zh-CN"/>
            </w:rPr>
            <w:t>3</w:t>
          </w:r>
        </w:fldSimple>
      </w:p>
    </w:sdtContent>
  </w:sdt>
  <w:p w:rsidR="00A0765F" w:rsidRDefault="00A0765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1F0" w:rsidRDefault="009C11F0" w:rsidP="00A0765F">
      <w:r>
        <w:separator/>
      </w:r>
    </w:p>
  </w:footnote>
  <w:footnote w:type="continuationSeparator" w:id="1">
    <w:p w:rsidR="009C11F0" w:rsidRDefault="009C11F0" w:rsidP="00A076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114F60"/>
    <w:multiLevelType w:val="singleLevel"/>
    <w:tmpl w:val="CB114F60"/>
    <w:lvl w:ilvl="0">
      <w:start w:val="4"/>
      <w:numFmt w:val="decimal"/>
      <w:suff w:val="nothing"/>
      <w:lvlText w:val="%1、"/>
      <w:lvlJc w:val="left"/>
    </w:lvl>
  </w:abstractNum>
  <w:abstractNum w:abstractNumId="1">
    <w:nsid w:val="63745A25"/>
    <w:multiLevelType w:val="singleLevel"/>
    <w:tmpl w:val="63745A25"/>
    <w:lvl w:ilvl="0">
      <w:start w:val="1"/>
      <w:numFmt w:val="chineseCounting"/>
      <w:suff w:val="nothing"/>
      <w:lvlText w:val="%1、"/>
      <w:lvlJc w:val="left"/>
    </w:lvl>
  </w:abstractNum>
  <w:abstractNum w:abstractNumId="2">
    <w:nsid w:val="67382C76"/>
    <w:multiLevelType w:val="multilevel"/>
    <w:tmpl w:val="67382C76"/>
    <w:lvl w:ilvl="0" w:tentative="1">
      <w:start w:val="1"/>
      <w:numFmt w:val="decimal"/>
      <w:lvlText w:val="%1."/>
      <w:lvlJc w:val="left"/>
      <w:pPr>
        <w:ind w:left="425" w:hanging="425"/>
      </w:pPr>
    </w:lvl>
    <w:lvl w:ilvl="1" w:tentative="1">
      <w:start w:val="1"/>
      <w:numFmt w:val="decimal"/>
      <w:suff w:val="space"/>
      <w:lvlText w:val="%2."/>
      <w:lvlJc w:val="left"/>
      <w:pPr>
        <w:ind w:left="709" w:firstLine="0"/>
      </w:pPr>
      <w:rPr>
        <w:lang w:val="en-US"/>
      </w:rPr>
    </w:lvl>
    <w:lvl w:ilvl="2" w:tentative="1">
      <w:start w:val="1"/>
      <w:numFmt w:val="decimal"/>
      <w:suff w:val="space"/>
      <w:lvlText w:val="%2.%3"/>
      <w:lvlJc w:val="left"/>
      <w:pPr>
        <w:ind w:left="142" w:firstLine="0"/>
      </w:pPr>
      <w:rPr>
        <w:rFonts w:ascii="宋体" w:eastAsia="宋体" w:hAnsi="宋体"/>
        <w:sz w:val="32"/>
        <w:szCs w:val="32"/>
      </w:rPr>
    </w:lvl>
    <w:lvl w:ilvl="3" w:tentative="1">
      <w:start w:val="1"/>
      <w:numFmt w:val="decimal"/>
      <w:pStyle w:val="4"/>
      <w:suff w:val="space"/>
      <w:lvlText w:val="%2.%3.%4"/>
      <w:lvlJc w:val="left"/>
      <w:pPr>
        <w:ind w:left="851" w:hanging="851"/>
      </w:pPr>
      <w:rPr>
        <w:b w:val="0"/>
        <w:bCs/>
        <w:lang w:val="en-US"/>
      </w:rPr>
    </w:lvl>
    <w:lvl w:ilvl="4" w:tentative="1">
      <w:start w:val="1"/>
      <w:numFmt w:val="decimal"/>
      <w:suff w:val="space"/>
      <w:lvlText w:val="%2.%3.%4.%5"/>
      <w:lvlJc w:val="left"/>
      <w:pPr>
        <w:ind w:left="3543" w:hanging="992"/>
      </w:pPr>
      <w:rPr>
        <w:b w:val="0"/>
        <w:bCs w:val="0"/>
        <w:i w:val="0"/>
        <w:iCs w:val="0"/>
        <w:caps w:val="0"/>
        <w:smallCaps w:val="0"/>
        <w:strike w:val="0"/>
        <w:vanish w:val="0"/>
        <w:color w:val="000000"/>
        <w:spacing w:val="0"/>
        <w:position w:val="0"/>
        <w:u w:val="none"/>
        <w:vertAlign w:val="baseline"/>
      </w:rPr>
    </w:lvl>
    <w:lvl w:ilvl="5" w:tentative="1">
      <w:start w:val="1"/>
      <w:numFmt w:val="decimal"/>
      <w:suff w:val="space"/>
      <w:lvlText w:val="%2.%3.%4.%5.%6"/>
      <w:lvlJc w:val="left"/>
      <w:pPr>
        <w:ind w:left="1134" w:hanging="1134"/>
      </w:pPr>
    </w:lvl>
    <w:lvl w:ilvl="6" w:tentative="1">
      <w:start w:val="1"/>
      <w:numFmt w:val="decimal"/>
      <w:suff w:val="nothing"/>
      <w:lvlText w:val="（%7）"/>
      <w:lvlJc w:val="left"/>
      <w:pPr>
        <w:ind w:left="1587" w:hanging="1587"/>
      </w:pPr>
    </w:lvl>
    <w:lvl w:ilvl="7" w:tentative="1">
      <w:start w:val="1"/>
      <w:numFmt w:val="decimal"/>
      <w:lvlText w:val="%1.%2.%3.%4.%5.%6.%7.%8."/>
      <w:lvlJc w:val="left"/>
      <w:pPr>
        <w:tabs>
          <w:tab w:val="left" w:pos="2160"/>
        </w:tabs>
        <w:ind w:left="1418" w:hanging="1418"/>
      </w:pPr>
    </w:lvl>
    <w:lvl w:ilvl="8" w:tentative="1">
      <w:start w:val="1"/>
      <w:numFmt w:val="decimal"/>
      <w:suff w:val="space"/>
      <w:lvlText w:val="(%9)"/>
      <w:lvlJc w:val="left"/>
      <w:pPr>
        <w:ind w:left="482" w:firstLine="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embedSystemFonts/>
  <w:bordersDoNotSurroundHeader/>
  <w:bordersDoNotSurroundFooter/>
  <w:defaultTabStop w:val="420"/>
  <w:drawingGridVerticalSpacing w:val="156"/>
  <w:noPunctuationKerning/>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9031AC7"/>
    <w:rsid w:val="000D37C4"/>
    <w:rsid w:val="00566755"/>
    <w:rsid w:val="00601A4F"/>
    <w:rsid w:val="006676B4"/>
    <w:rsid w:val="008A0FA4"/>
    <w:rsid w:val="009C11F0"/>
    <w:rsid w:val="009E0F73"/>
    <w:rsid w:val="00A0765F"/>
    <w:rsid w:val="00ED0657"/>
    <w:rsid w:val="027E29A5"/>
    <w:rsid w:val="028B41EF"/>
    <w:rsid w:val="0B036EA1"/>
    <w:rsid w:val="11940A90"/>
    <w:rsid w:val="1CA35B0D"/>
    <w:rsid w:val="1FD31DC3"/>
    <w:rsid w:val="23787877"/>
    <w:rsid w:val="29031AC7"/>
    <w:rsid w:val="29F32276"/>
    <w:rsid w:val="37A778DB"/>
    <w:rsid w:val="44457410"/>
    <w:rsid w:val="4B3A1244"/>
    <w:rsid w:val="4F1072AF"/>
    <w:rsid w:val="601A2EBA"/>
    <w:rsid w:val="6B4A564A"/>
    <w:rsid w:val="70EC4652"/>
    <w:rsid w:val="73571248"/>
    <w:rsid w:val="73C14B48"/>
    <w:rsid w:val="7A3776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6755"/>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566755"/>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unhideWhenUsed/>
    <w:qFormat/>
    <w:rsid w:val="00566755"/>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0"/>
    <w:unhideWhenUsed/>
    <w:qFormat/>
    <w:rsid w:val="00566755"/>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0"/>
    <w:qFormat/>
    <w:rsid w:val="00566755"/>
    <w:pPr>
      <w:keepNext/>
      <w:keepLines/>
      <w:numPr>
        <w:ilvl w:val="3"/>
        <w:numId w:val="1"/>
      </w:numPr>
      <w:spacing w:before="240" w:after="120"/>
      <w:outlineLvl w:val="3"/>
    </w:pPr>
    <w:rPr>
      <w:rFonts w:eastAsia="微软雅黑"/>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文档正文"/>
    <w:basedOn w:val="a"/>
    <w:qFormat/>
    <w:rsid w:val="00566755"/>
    <w:pPr>
      <w:ind w:firstLine="482"/>
    </w:pPr>
    <w:rPr>
      <w:sz w:val="24"/>
      <w:szCs w:val="22"/>
    </w:rPr>
  </w:style>
  <w:style w:type="paragraph" w:styleId="a4">
    <w:name w:val="Normal (Web)"/>
    <w:basedOn w:val="a"/>
    <w:qFormat/>
    <w:rsid w:val="00566755"/>
    <w:pPr>
      <w:spacing w:beforeAutospacing="1" w:afterAutospacing="1"/>
      <w:jc w:val="left"/>
    </w:pPr>
    <w:rPr>
      <w:rFonts w:cs="Times New Roman"/>
      <w:kern w:val="0"/>
      <w:sz w:val="24"/>
    </w:rPr>
  </w:style>
  <w:style w:type="character" w:styleId="a5">
    <w:name w:val="Strong"/>
    <w:basedOn w:val="a1"/>
    <w:qFormat/>
    <w:rsid w:val="00566755"/>
    <w:rPr>
      <w:b/>
    </w:rPr>
  </w:style>
  <w:style w:type="paragraph" w:customStyle="1" w:styleId="a6">
    <w:name w:val="大标"/>
    <w:basedOn w:val="a"/>
    <w:qFormat/>
    <w:rsid w:val="00566755"/>
    <w:pPr>
      <w:adjustRightInd w:val="0"/>
      <w:snapToGrid w:val="0"/>
      <w:ind w:leftChars="-50" w:left="-50"/>
      <w:jc w:val="center"/>
    </w:pPr>
    <w:rPr>
      <w:rFonts w:ascii="Times New Roman" w:eastAsia="华文中宋" w:hAnsi="Times New Roman" w:cs="Times New Roman"/>
      <w:sz w:val="44"/>
    </w:rPr>
  </w:style>
  <w:style w:type="paragraph" w:styleId="a7">
    <w:name w:val="header"/>
    <w:basedOn w:val="a"/>
    <w:link w:val="Char"/>
    <w:rsid w:val="00A076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7"/>
    <w:rsid w:val="00A0765F"/>
    <w:rPr>
      <w:rFonts w:asciiTheme="minorHAnsi" w:eastAsiaTheme="minorEastAsia" w:hAnsiTheme="minorHAnsi" w:cstheme="minorBidi"/>
      <w:kern w:val="2"/>
      <w:sz w:val="18"/>
      <w:szCs w:val="18"/>
    </w:rPr>
  </w:style>
  <w:style w:type="paragraph" w:styleId="a8">
    <w:name w:val="footer"/>
    <w:basedOn w:val="a"/>
    <w:link w:val="Char0"/>
    <w:uiPriority w:val="99"/>
    <w:rsid w:val="00A0765F"/>
    <w:pPr>
      <w:tabs>
        <w:tab w:val="center" w:pos="4153"/>
        <w:tab w:val="right" w:pos="8306"/>
      </w:tabs>
      <w:snapToGrid w:val="0"/>
      <w:jc w:val="left"/>
    </w:pPr>
    <w:rPr>
      <w:sz w:val="18"/>
      <w:szCs w:val="18"/>
    </w:rPr>
  </w:style>
  <w:style w:type="character" w:customStyle="1" w:styleId="Char0">
    <w:name w:val="页脚 Char"/>
    <w:basedOn w:val="a1"/>
    <w:link w:val="a8"/>
    <w:uiPriority w:val="99"/>
    <w:rsid w:val="00A0765F"/>
    <w:rPr>
      <w:rFonts w:asciiTheme="minorHAnsi" w:eastAsiaTheme="minorEastAsia" w:hAnsiTheme="minorHAnsi" w:cstheme="minorBidi"/>
      <w:kern w:val="2"/>
      <w:sz w:val="18"/>
      <w:szCs w:val="18"/>
    </w:rPr>
  </w:style>
  <w:style w:type="paragraph" w:styleId="a9">
    <w:name w:val="Balloon Text"/>
    <w:basedOn w:val="a"/>
    <w:link w:val="Char1"/>
    <w:rsid w:val="00A0765F"/>
    <w:rPr>
      <w:sz w:val="18"/>
      <w:szCs w:val="18"/>
    </w:rPr>
  </w:style>
  <w:style w:type="character" w:customStyle="1" w:styleId="Char1">
    <w:name w:val="批注框文本 Char"/>
    <w:basedOn w:val="a1"/>
    <w:link w:val="a9"/>
    <w:rsid w:val="00A0765F"/>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270473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88BC90D-C5F4-4022-AEB7-873194F9483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506</Words>
  <Characters>2886</Characters>
  <Application>Microsoft Office Word</Application>
  <DocSecurity>0</DocSecurity>
  <Lines>24</Lines>
  <Paragraphs>6</Paragraphs>
  <ScaleCrop>false</ScaleCrop>
  <Company>微软中国</Company>
  <LinksUpToDate>false</LinksUpToDate>
  <CharactersWithSpaces>3386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韩东耕</cp:lastModifiedBy>
  <cp:revision>2</cp:revision>
  <dcterms:created xsi:type="dcterms:W3CDTF">2023-07-23T07:19:00Z</dcterms:created>
  <dcterms:modified xsi:type="dcterms:W3CDTF">2023-07-23T07:19:00Z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y fmtid="{D5CDD505-2E9C-101B-9397-08002B2CF9AE}" pid="3" name="ICV">
    <vt:lpwstr>883F9EC3053A431E8463033CA5A09D96</vt:lpwstr>
  </property>
</Properties>
</file>