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color w:val="FF000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b/>
          <w:bCs w:val="0"/>
          <w:color w:val="FF0000"/>
          <w:spacing w:val="40"/>
          <w:w w:val="66"/>
          <w:sz w:val="112"/>
          <w:szCs w:val="112"/>
        </w:rPr>
        <w:t>南阳市卧龙区人民法院</w:t>
      </w:r>
    </w:p>
    <w:p>
      <w:pPr>
        <w:spacing w:line="640" w:lineRule="exact"/>
        <w:jc w:val="left"/>
        <w:rPr>
          <w:rFonts w:hint="eastAsia" w:asciiTheme="minorEastAsia" w:hAnsiTheme="minorEastAsia" w:cstheme="minorEastAsia"/>
          <w:b/>
          <w:bCs/>
          <w:sz w:val="44"/>
          <w:szCs w:val="44"/>
        </w:rPr>
      </w:pPr>
      <w:r>
        <w:rPr>
          <w:rFonts w:ascii="仿宋_GB2312" w:eastAsia="仿宋_GB231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372745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9.35pt;height:0pt;width:442.2pt;mso-position-horizontal:center;mso-position-horizontal-relative:page;z-index:251659264;mso-width-relative:page;mso-height-relative:page;" filled="f" stroked="t" coordsize="21600,21600" o:gfxdata="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q0CKc1gAAAAYBAAAPAAAAAAAAAAEAIAAAACIAAABkcnMvZG93bnJldi54&#10;bWxQSwECFAAUAAAACACHTuJATXPeYsMBAABbAwAADgAAAAAAAAABACAAAAAlAQAAZHJzL2Uyb0Rv&#10;Yy54bWxQSwUGAAAAAAYABgBZAQAAW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宛龙法〔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50号                        签发人：戴瑞熠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pStyle w:val="10"/>
        <w:widowControl w:val="0"/>
        <w:tabs>
          <w:tab w:val="left" w:pos="1677"/>
          <w:tab w:val="left" w:pos="1679"/>
        </w:tabs>
        <w:adjustRightInd w:val="0"/>
        <w:snapToGrid w:val="0"/>
        <w:spacing w:line="560" w:lineRule="atLeast"/>
        <w:ind w:left="0"/>
        <w:contextualSpacing w:val="0"/>
        <w:jc w:val="center"/>
        <w:rPr>
          <w:rFonts w:ascii="华文中宋" w:hAnsi="华文中宋" w:eastAsia="华文中宋" w:cs="CESI小标宋-GB2312"/>
          <w:b/>
          <w:bCs/>
          <w:sz w:val="44"/>
          <w:szCs w:val="44"/>
        </w:rPr>
      </w:pPr>
      <w:r>
        <w:rPr>
          <w:rFonts w:hint="eastAsia" w:ascii="华文中宋" w:hAnsi="华文中宋" w:eastAsia="华文中宋" w:cs="CESI小标宋-GB2312"/>
          <w:b/>
          <w:bCs/>
          <w:sz w:val="44"/>
          <w:szCs w:val="44"/>
        </w:rPr>
        <w:t>关于执行实施案件繁简分流工作细则</w:t>
      </w:r>
    </w:p>
    <w:p>
      <w:pPr>
        <w:pStyle w:val="10"/>
        <w:widowControl w:val="0"/>
        <w:tabs>
          <w:tab w:val="left" w:pos="1677"/>
          <w:tab w:val="left" w:pos="1679"/>
        </w:tabs>
        <w:adjustRightInd w:val="0"/>
        <w:snapToGrid w:val="0"/>
        <w:spacing w:line="560" w:lineRule="atLeast"/>
        <w:ind w:left="0"/>
        <w:contextualSpacing w:val="0"/>
        <w:jc w:val="center"/>
        <w:rPr>
          <w:rFonts w:ascii="华文中宋" w:hAnsi="华文中宋" w:eastAsia="华文中宋" w:cs="华文楷体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楷体"/>
          <w:b/>
          <w:bCs/>
          <w:sz w:val="44"/>
          <w:szCs w:val="44"/>
        </w:rPr>
        <w:t>（试行）</w:t>
      </w:r>
    </w:p>
    <w:p>
      <w:pPr>
        <w:pStyle w:val="10"/>
        <w:widowControl w:val="0"/>
        <w:tabs>
          <w:tab w:val="left" w:pos="1677"/>
          <w:tab w:val="left" w:pos="1679"/>
        </w:tabs>
        <w:adjustRightInd w:val="0"/>
        <w:snapToGrid w:val="0"/>
        <w:spacing w:line="560" w:lineRule="atLeast"/>
        <w:ind w:left="0"/>
        <w:contextualSpacing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contextualSpacing w:val="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为建立繁简分流长效工作机制，切实提高执行办案效率，根据《最高人民法院〈关于深化执行改革健全解决执行难长效机制的意见〉</w:t>
      </w:r>
      <w:r>
        <w:rPr>
          <w:rFonts w:ascii="Times New Roman" w:hAnsi="Times New Roman" w:eastAsia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执行工作纲要(2019—2023)》《最高人民法院〈关于进一步全面落实司法责任制的实施意见〉》《最高人民法院〈关于进一步推进案件繁简分流优化司法资源配置的若干意见〉》等规定，结合我院实际，决定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我院执行案件办理过程中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全面推行执行实施案件繁简分流。现制定以下工作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卧龙区人民法院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根据工作实际，</w:t>
      </w:r>
      <w:r>
        <w:rPr>
          <w:rFonts w:hint="eastAsia" w:ascii="仿宋_GB2312" w:hAnsi="仿宋" w:eastAsia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快执团队、普执团队、特执团队、事务性工作集约办理团队，全面推行繁简分流、事务集约的执行权运行机制。</w:t>
      </w:r>
      <w:r>
        <w:rPr>
          <w:rFonts w:hint="eastAsia" w:ascii="仿宋_GB2312" w:hAnsi="仿宋" w:eastAsia="仿宋_GB2312"/>
          <w:sz w:val="32"/>
          <w:szCs w:val="32"/>
        </w:rPr>
        <w:t>其中，快执团队办理简易案件，普执团队办理普通案件，特执团队办理重大疑难案件，事务集约团队办理各项执行辅助事务。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contextualSpacing w:val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全面推进全流程无纸化网上办案，加强不同系统平台的深度融合，实现简单案件、普通案件、疑难复杂案件系统自动识别。执行指挥中心对执行案件进行类型化处理，充分发挥对团队化办案的支持、保障作用，实现“简案快执，难案精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32"/>
          <w:szCs w:val="32"/>
        </w:rPr>
        <w:t xml:space="preserve">  财产查控前置，执行案件立案后立即启动网络查控，并完成以下工作：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（一）执行通知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hAnsi="仿宋" w:eastAsia="仿宋_GB2312"/>
          <w:sz w:val="32"/>
          <w:szCs w:val="32"/>
        </w:rPr>
        <w:t>等格式文书的制作、送达、公告；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（二）通过网络查询财产；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（三）通过网络控制财产。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hAnsi="仿宋" w:eastAsia="仿宋_GB2312"/>
          <w:sz w:val="32"/>
          <w:szCs w:val="32"/>
        </w:rPr>
        <w:t xml:space="preserve">  做好财产查控和分案交接。财产查控阶段前期工作完成后，繁简分流负责人应当对全案材料进行初步审查，并根据以下情况进行处理：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（一）认为尚有财产线索需要补充核实并采取查控措施的，快速安排财产查控人员处理。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（二）按照繁简分流标准，原则上将普通案件、重大疑难案件随机分流至相应的承办团队，并同时移交案卷；简易案件由快执团队承办法官办理；系列案、关联案等可分至同一法官（团队）办理。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" w:eastAsia="仿宋_GB2312"/>
          <w:sz w:val="32"/>
          <w:szCs w:val="32"/>
        </w:rPr>
        <w:t xml:space="preserve">  合理制定繁简分流识别标准。案件繁简度参照如下标准进行分类。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（一）简易案件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1.银行存款、网络资金账户资金等可足额清偿债权的；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contextualSpacing w:val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2.向有关单位发送协助执行通知书即可以办结的行为执行案件；</w:t>
      </w:r>
    </w:p>
    <w:p>
      <w:pPr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3.不动产、机动车过户案件；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.被执行人已主动履行、愿意主动履行或者双方有较大和解可能的；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5.查控团队初步判断不予受理或驳回申请的；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6.被执行人在本院有执行案件，且上一个被执行案件因暂无财产可供执行终结本次执行程序，新案件在上一个案件结案后六个月内立案的案件；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7.其他简单标的较小易执、易结案件。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（二）普通案件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1.需要处分房产、土地、车辆、股票、股权、证券、机器设备等财产的；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2.生效法律文书判项中涉及返还房产、商铺、机器设备等行为的；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3.生效刑事判决涉及扣押物品的处分或退赔判项不明确，情况较为复杂，无法快速处理的；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4.被执行人为党政机关的；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5.家事纠纷、劳资纠纷、相邻关系纠纷等案件双方对立严重、需要做思想教育工作的；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6.未查控到被执行人有可供执行财产，且同时存在被执行人下落不明、诉讼期间公告送达开庭传票和裁判文书、申请执行人不能提供准确执行线索等情形的案件。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7.其他不宜识别为简易案件的。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（三）重大疑难案件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涉及标的较大、掺杂历史遗留问题较多、执行申请人较多，案件整体较为复杂、疑难、敏感、影响较大的。</w:t>
      </w:r>
    </w:p>
    <w:p>
      <w:pPr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hint="eastAsia" w:ascii="仿宋_GB2312" w:hAnsi="仿宋" w:eastAsia="仿宋_GB2312"/>
          <w:sz w:val="32"/>
          <w:szCs w:val="32"/>
        </w:rPr>
        <w:t xml:space="preserve">  简化简易案件办理流程。制作“复合型执行通知书”，将多项执行内容集中表述在一份通知书中，并通过缩短制发及送达周期、合并送达等多种手段，简化办案手续和程序。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对一次性有效执行案件的被执行人，应当在首次传唤或拘传时，做到案件情况一次性了解、财产状况一次性查明、法律义务一次性告知、违法后果一次性释明。</w:t>
      </w:r>
    </w:p>
    <w:p>
      <w:pPr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被执行人确有拒不报告财产、虚假报告财产、有能力履行而拒不履行义务的，坚决采取罚款、拘留等强制性措施，督促其迅速履行义务。</w:t>
      </w:r>
    </w:p>
    <w:p>
      <w:pPr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加快财产处置协调力度。执行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系首查封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或者通过执行协调取得处分权的,应当做好下列工作:1、书面通知优先权人限期向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或本院关联案件承办人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申报债权;2、书面通知租赁权人查封涉案财产以及拟进行评估、拍卖等相关情况;3、向其他查封法院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或本院其他关联案件承办人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书面发函,详细了解其他债权人享有债权情况。</w:t>
      </w:r>
    </w:p>
    <w:p>
      <w:pPr>
        <w:keepNext w:val="0"/>
        <w:keepLines w:val="0"/>
        <w:pageBreakBefore w:val="0"/>
        <w:widowControl w:val="0"/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查封涉案财产,但无处分权的案件,应当做好下列工作:1、执行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涉案债权人享有担保物权、建设工程价款优先受偿权等优先权的,应当及时主动联系首查封法院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或首封案件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,掌握首查封法院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进展,通过执行协调程序,商请首查封法院移交涉案财产的处分权;2、对涉案财产的查封系轮候查封的,应当及时主动联系首查封法院,掌握首查封法院执行进展,通过执行协调程序,商请首查封法院移交涉案财产的处分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涉及执行协调事项,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与本院相关案件承办人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无法达成一致意见的,报请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；与相关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法院无法达成一致意见的,报请共同的上级法院协调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77"/>
          <w:tab w:val="left" w:pos="1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存在重大信访隐患或舆情风险的执行案件,应当做好应急预案,同时要提前向当地党委和上级法院报告情况。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hAnsi="仿宋" w:eastAsia="仿宋_GB2312"/>
          <w:sz w:val="32"/>
          <w:szCs w:val="32"/>
        </w:rPr>
        <w:t xml:space="preserve">  合理设置办案时间节点。合理设置立案、财产查控、公告送达、财产处置、款物分配等工作环节的时间节点，各环节加强工作衔接。</w:t>
      </w:r>
      <w:r>
        <w:rPr>
          <w:rFonts w:hint="eastAsia" w:ascii="仿宋_GB2312" w:hAnsi="仿宋_GB2312" w:eastAsia="仿宋_GB2312" w:cs="仿宋_GB2312"/>
          <w:sz w:val="32"/>
          <w:szCs w:val="32"/>
        </w:rPr>
        <w:t>简易执行案件应在立案之日起30日内结案，其他简单案件应按照“三个一律”要求在立案之日起60日内结案，普通执行案件应在法定期限内结案。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仿宋_GB2312" w:hAnsi="仿宋" w:eastAsia="仿宋_GB2312"/>
          <w:sz w:val="32"/>
          <w:szCs w:val="32"/>
        </w:rPr>
        <w:t xml:space="preserve">  合理设置二次分案程序。快执团队执行中发现案件因疑难复杂等客观原因可能难以在1个月内结案的，可提请执行局长进行审批后进行二次分案，原则上由系统随机分派至普执团队继续办理。二次分案时要确保财产查控信息、办案进程及办案人员信息及时反馈至当事人，并在二次分案决定作出后３日内移交新的办案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hint="eastAsia" w:ascii="仿宋_GB2312" w:hAnsi="仿宋" w:eastAsia="仿宋_GB2312"/>
          <w:sz w:val="32"/>
          <w:szCs w:val="32"/>
        </w:rPr>
        <w:t xml:space="preserve">  加强执行团队建设。快执团队按“法官+法官助理+书记员”配置；普执团队按“资深法官+法官助理+法警+书记员”配置；特执团队按“局领导+法官+法官助理+法警+书记员”配置。快执团队可适当增加法官助理和书记员的人数。执行团队可根据工作需要采取集中执行行动，临时抽调其他团队人员参加。事务集约团队负责人可由法官以外执行人员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不同团队人员可视情况定期或不定期进行轮岗交流。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本工作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细则</w:t>
      </w:r>
      <w:r>
        <w:rPr>
          <w:rFonts w:hint="eastAsia" w:ascii="仿宋_GB2312" w:hAnsi="仿宋" w:eastAsia="仿宋_GB2312"/>
          <w:sz w:val="32"/>
          <w:szCs w:val="32"/>
        </w:rPr>
        <w:t>自发布之日起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试行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南阳市卧龙区人民法院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月十五日 </w:t>
      </w:r>
    </w:p>
    <w:sectPr>
      <w:footerReference r:id="rId3" w:type="default"/>
      <w:footerReference r:id="rId4" w:type="even"/>
      <w:pgSz w:w="11906" w:h="16838"/>
      <w:pgMar w:top="1871" w:right="1474" w:bottom="1871" w:left="1474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4678630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3"/>
          <w:ind w:left="1455" w:right="310" w:rightChars="155" w:hanging="747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1 -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3262287"/>
      <w:docPartObj>
        <w:docPartGallery w:val="autotext"/>
      </w:docPartObj>
    </w:sdtPr>
    <w:sdtContent>
      <w:p>
        <w:pPr>
          <w:pStyle w:val="3"/>
          <w:ind w:firstLine="282" w:firstLineChars="157"/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2 -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3AD30"/>
    <w:multiLevelType w:val="singleLevel"/>
    <w:tmpl w:val="DFC3AD30"/>
    <w:lvl w:ilvl="0" w:tentative="0">
      <w:start w:val="1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60"/>
    <w:rsid w:val="00002128"/>
    <w:rsid w:val="00002C1C"/>
    <w:rsid w:val="00021315"/>
    <w:rsid w:val="00022D42"/>
    <w:rsid w:val="000441B5"/>
    <w:rsid w:val="000673CB"/>
    <w:rsid w:val="00072941"/>
    <w:rsid w:val="00086C40"/>
    <w:rsid w:val="000B529B"/>
    <w:rsid w:val="000B7E2A"/>
    <w:rsid w:val="000C1D7B"/>
    <w:rsid w:val="000C4E1A"/>
    <w:rsid w:val="000E6109"/>
    <w:rsid w:val="000F3AC7"/>
    <w:rsid w:val="000F4D69"/>
    <w:rsid w:val="000F63BF"/>
    <w:rsid w:val="00135377"/>
    <w:rsid w:val="00136465"/>
    <w:rsid w:val="00141EEA"/>
    <w:rsid w:val="001736D5"/>
    <w:rsid w:val="00183DAF"/>
    <w:rsid w:val="001A7F1B"/>
    <w:rsid w:val="001E1113"/>
    <w:rsid w:val="00213270"/>
    <w:rsid w:val="002155FC"/>
    <w:rsid w:val="00233B0D"/>
    <w:rsid w:val="002556C4"/>
    <w:rsid w:val="00262D96"/>
    <w:rsid w:val="0027671F"/>
    <w:rsid w:val="002A764D"/>
    <w:rsid w:val="002A7A7D"/>
    <w:rsid w:val="002B6C39"/>
    <w:rsid w:val="002C1B8D"/>
    <w:rsid w:val="002D07BB"/>
    <w:rsid w:val="002F14F8"/>
    <w:rsid w:val="002F62BB"/>
    <w:rsid w:val="002F73A6"/>
    <w:rsid w:val="00317CD0"/>
    <w:rsid w:val="003528F5"/>
    <w:rsid w:val="003667EF"/>
    <w:rsid w:val="00372056"/>
    <w:rsid w:val="003972CE"/>
    <w:rsid w:val="003B1A3F"/>
    <w:rsid w:val="003B2B24"/>
    <w:rsid w:val="003B6ED1"/>
    <w:rsid w:val="003C7281"/>
    <w:rsid w:val="003D1FF4"/>
    <w:rsid w:val="003F09D3"/>
    <w:rsid w:val="004105FE"/>
    <w:rsid w:val="0047638B"/>
    <w:rsid w:val="004A5964"/>
    <w:rsid w:val="004A5DAA"/>
    <w:rsid w:val="004E7F94"/>
    <w:rsid w:val="00505F0A"/>
    <w:rsid w:val="00535EDA"/>
    <w:rsid w:val="005444DE"/>
    <w:rsid w:val="005503A2"/>
    <w:rsid w:val="00555186"/>
    <w:rsid w:val="00577FC8"/>
    <w:rsid w:val="00582300"/>
    <w:rsid w:val="00590920"/>
    <w:rsid w:val="005C4D67"/>
    <w:rsid w:val="0060402D"/>
    <w:rsid w:val="00617A70"/>
    <w:rsid w:val="00620B0B"/>
    <w:rsid w:val="006312DC"/>
    <w:rsid w:val="0063288B"/>
    <w:rsid w:val="00645012"/>
    <w:rsid w:val="00645388"/>
    <w:rsid w:val="006558B6"/>
    <w:rsid w:val="00675B9D"/>
    <w:rsid w:val="00691D19"/>
    <w:rsid w:val="006944BE"/>
    <w:rsid w:val="00696156"/>
    <w:rsid w:val="006A2C3C"/>
    <w:rsid w:val="006A3B1E"/>
    <w:rsid w:val="006E058F"/>
    <w:rsid w:val="006F3DB8"/>
    <w:rsid w:val="006F3F71"/>
    <w:rsid w:val="0074070B"/>
    <w:rsid w:val="00754F5A"/>
    <w:rsid w:val="007B2AD3"/>
    <w:rsid w:val="007F260C"/>
    <w:rsid w:val="00817F17"/>
    <w:rsid w:val="00835920"/>
    <w:rsid w:val="008429CD"/>
    <w:rsid w:val="00860B29"/>
    <w:rsid w:val="008A76C4"/>
    <w:rsid w:val="008B7BBA"/>
    <w:rsid w:val="008E6579"/>
    <w:rsid w:val="008F0E81"/>
    <w:rsid w:val="00907BFF"/>
    <w:rsid w:val="00910170"/>
    <w:rsid w:val="0092392D"/>
    <w:rsid w:val="0093054A"/>
    <w:rsid w:val="00932515"/>
    <w:rsid w:val="00940F4A"/>
    <w:rsid w:val="0095515E"/>
    <w:rsid w:val="009572C2"/>
    <w:rsid w:val="00970DEE"/>
    <w:rsid w:val="00981834"/>
    <w:rsid w:val="009862E2"/>
    <w:rsid w:val="009C44D0"/>
    <w:rsid w:val="009C6C6A"/>
    <w:rsid w:val="009E1D86"/>
    <w:rsid w:val="009E720B"/>
    <w:rsid w:val="00A33D7F"/>
    <w:rsid w:val="00A37796"/>
    <w:rsid w:val="00A422E6"/>
    <w:rsid w:val="00A42E10"/>
    <w:rsid w:val="00A56A5A"/>
    <w:rsid w:val="00A722C9"/>
    <w:rsid w:val="00A95818"/>
    <w:rsid w:val="00AA4741"/>
    <w:rsid w:val="00AC2564"/>
    <w:rsid w:val="00AC5EF4"/>
    <w:rsid w:val="00AF0863"/>
    <w:rsid w:val="00AF3D29"/>
    <w:rsid w:val="00AF6414"/>
    <w:rsid w:val="00B455C8"/>
    <w:rsid w:val="00B715D2"/>
    <w:rsid w:val="00B90254"/>
    <w:rsid w:val="00B9329E"/>
    <w:rsid w:val="00BA0CDF"/>
    <w:rsid w:val="00BB2BE6"/>
    <w:rsid w:val="00BF0411"/>
    <w:rsid w:val="00BF4C97"/>
    <w:rsid w:val="00C41C2F"/>
    <w:rsid w:val="00C575FF"/>
    <w:rsid w:val="00C60E01"/>
    <w:rsid w:val="00C6304B"/>
    <w:rsid w:val="00C741B0"/>
    <w:rsid w:val="00CA533B"/>
    <w:rsid w:val="00CB3EB2"/>
    <w:rsid w:val="00CE544E"/>
    <w:rsid w:val="00CE5FFA"/>
    <w:rsid w:val="00CF29B6"/>
    <w:rsid w:val="00CF357F"/>
    <w:rsid w:val="00D14059"/>
    <w:rsid w:val="00D44E15"/>
    <w:rsid w:val="00D553F3"/>
    <w:rsid w:val="00D57622"/>
    <w:rsid w:val="00D95FAA"/>
    <w:rsid w:val="00DA23A0"/>
    <w:rsid w:val="00DC41DC"/>
    <w:rsid w:val="00DE0457"/>
    <w:rsid w:val="00DF4213"/>
    <w:rsid w:val="00E07F64"/>
    <w:rsid w:val="00E10844"/>
    <w:rsid w:val="00E16E2C"/>
    <w:rsid w:val="00E178C7"/>
    <w:rsid w:val="00E21A13"/>
    <w:rsid w:val="00E3422D"/>
    <w:rsid w:val="00E377B5"/>
    <w:rsid w:val="00E41179"/>
    <w:rsid w:val="00E47D21"/>
    <w:rsid w:val="00E628F3"/>
    <w:rsid w:val="00E74900"/>
    <w:rsid w:val="00E93A11"/>
    <w:rsid w:val="00E96BED"/>
    <w:rsid w:val="00EA6763"/>
    <w:rsid w:val="00EB2060"/>
    <w:rsid w:val="00EB232A"/>
    <w:rsid w:val="00ED45B9"/>
    <w:rsid w:val="00F005FE"/>
    <w:rsid w:val="00F16CD6"/>
    <w:rsid w:val="00F16CE6"/>
    <w:rsid w:val="00F210BA"/>
    <w:rsid w:val="00F277CA"/>
    <w:rsid w:val="00F43D00"/>
    <w:rsid w:val="00F629AC"/>
    <w:rsid w:val="00F7633D"/>
    <w:rsid w:val="00F8487C"/>
    <w:rsid w:val="00FA337D"/>
    <w:rsid w:val="00FD7FE1"/>
    <w:rsid w:val="00FE1437"/>
    <w:rsid w:val="00FF4756"/>
    <w:rsid w:val="00FF4F96"/>
    <w:rsid w:val="06364FD8"/>
    <w:rsid w:val="0FA0291A"/>
    <w:rsid w:val="23562E8E"/>
    <w:rsid w:val="27844A40"/>
    <w:rsid w:val="2C793732"/>
    <w:rsid w:val="36896C4C"/>
    <w:rsid w:val="36F12A93"/>
    <w:rsid w:val="42917960"/>
    <w:rsid w:val="4CE22DA9"/>
    <w:rsid w:val="515C6677"/>
    <w:rsid w:val="6AA269A2"/>
    <w:rsid w:val="6C191D4C"/>
    <w:rsid w:val="6FCA3F25"/>
    <w:rsid w:val="7D057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qFormat/>
    <w:uiPriority w:val="1"/>
    <w:pPr>
      <w:ind w:left="720"/>
      <w:contextualSpacing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customStyle="1" w:styleId="11">
    <w:name w:val="列出段落1"/>
    <w:basedOn w:val="1"/>
    <w:qFormat/>
    <w:uiPriority w:val="1"/>
    <w:pPr>
      <w:widowControl w:val="0"/>
      <w:ind w:left="318" w:firstLine="639"/>
      <w:jc w:val="both"/>
    </w:pPr>
    <w:rPr>
      <w:rFonts w:ascii="宋体" w:hAnsi="宋体" w:cs="宋体"/>
      <w:kern w:val="2"/>
      <w:sz w:val="21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97BC5-45AE-4E92-AAF8-250E5CE07D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388</Words>
  <Characters>2218</Characters>
  <Lines>18</Lines>
  <Paragraphs>5</Paragraphs>
  <TotalTime>218</TotalTime>
  <ScaleCrop>false</ScaleCrop>
  <LinksUpToDate>false</LinksUpToDate>
  <CharactersWithSpaces>2601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2022-04-12T07:32:00Z</dcterms:created>
  <dc:creator>杨川入（聘）</dc:creator>
  <cp:lastModifiedBy>刘晓</cp:lastModifiedBy>
  <cp:lastPrinted>2023-07-20T03:46:14Z</cp:lastPrinted>
  <dcterms:modified xsi:type="dcterms:W3CDTF">2023-07-20T07:57:09Z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